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360" w:lineRule="auto"/>
        <w:ind w:firstLine="200"/>
        <w:jc w:val="center"/>
        <w:rPr>
          <w:rFonts w:ascii="Times New Roman" w:cs="Times New Roman" w:hAnsiTheme="minorEastAsia" w:eastAsiaTheme="minorEastAsia"/>
          <w:b/>
          <w:bCs/>
          <w:color w:val="000000"/>
          <w:sz w:val="44"/>
          <w:szCs w:val="44"/>
        </w:rPr>
      </w:pPr>
      <w:r>
        <w:rPr>
          <w:rFonts w:ascii="Times New Roman" w:cs="Times New Roman" w:hAnsiTheme="minorEastAsia" w:eastAsiaTheme="minorEastAsia"/>
          <w:b/>
          <w:bCs/>
          <w:color w:val="000000"/>
          <w:sz w:val="44"/>
          <w:szCs w:val="44"/>
        </w:rPr>
        <w:t>南京大学</w:t>
      </w:r>
      <w:r>
        <w:rPr>
          <w:rFonts w:hint="eastAsia" w:ascii="Times New Roman" w:cs="Times New Roman" w:hAnsiTheme="minorEastAsia" w:eastAsiaTheme="minorEastAsia"/>
          <w:b/>
          <w:bCs/>
          <w:color w:val="000000"/>
          <w:sz w:val="44"/>
          <w:szCs w:val="44"/>
        </w:rPr>
        <w:t>2</w:t>
      </w:r>
      <w:r>
        <w:rPr>
          <w:rFonts w:ascii="Times New Roman" w:cs="Times New Roman" w:hAnsiTheme="minorEastAsia" w:eastAsiaTheme="minorEastAsia"/>
          <w:b/>
          <w:bCs/>
          <w:color w:val="000000"/>
          <w:sz w:val="44"/>
          <w:szCs w:val="44"/>
        </w:rPr>
        <w:t>022</w:t>
      </w:r>
      <w:r>
        <w:rPr>
          <w:rFonts w:hint="eastAsia" w:ascii="Times New Roman" w:cs="Times New Roman" w:hAnsiTheme="minorEastAsia" w:eastAsiaTheme="minorEastAsia"/>
          <w:b/>
          <w:bCs/>
          <w:color w:val="000000"/>
          <w:sz w:val="44"/>
          <w:szCs w:val="44"/>
        </w:rPr>
        <w:t>年度研究生</w:t>
      </w:r>
      <w:r>
        <w:rPr>
          <w:rFonts w:ascii="Times New Roman" w:cs="Times New Roman" w:hAnsiTheme="minorEastAsia" w:eastAsiaTheme="minorEastAsia"/>
          <w:b/>
          <w:bCs/>
          <w:color w:val="000000"/>
          <w:sz w:val="44"/>
          <w:szCs w:val="44"/>
        </w:rPr>
        <w:t>课程建设</w:t>
      </w:r>
      <w:r>
        <w:rPr>
          <w:rFonts w:hint="eastAsia" w:ascii="Times New Roman" w:cs="Times New Roman" w:hAnsiTheme="minorEastAsia" w:eastAsiaTheme="minorEastAsia"/>
          <w:b/>
          <w:bCs/>
          <w:color w:val="000000"/>
          <w:sz w:val="44"/>
          <w:szCs w:val="44"/>
        </w:rPr>
        <w:t>类</w:t>
      </w:r>
      <w:r>
        <w:rPr>
          <w:rFonts w:ascii="Times New Roman" w:cs="Times New Roman" w:hAnsiTheme="minorEastAsia" w:eastAsiaTheme="minorEastAsia"/>
          <w:b/>
          <w:bCs/>
          <w:color w:val="000000"/>
          <w:sz w:val="44"/>
          <w:szCs w:val="44"/>
        </w:rPr>
        <w:t>项目</w:t>
      </w:r>
    </w:p>
    <w:p>
      <w:pPr>
        <w:pStyle w:val="5"/>
        <w:spacing w:before="0" w:beforeAutospacing="0" w:after="0" w:afterAutospacing="0" w:line="360" w:lineRule="auto"/>
        <w:ind w:firstLine="200"/>
        <w:jc w:val="center"/>
        <w:rPr>
          <w:rFonts w:ascii="Times New Roman" w:hAnsi="Times New Roman" w:eastAsia="方正小标宋简体" w:cs="Times New Roman"/>
          <w:b/>
          <w:bCs/>
          <w:color w:val="000000"/>
          <w:szCs w:val="30"/>
        </w:rPr>
      </w:pPr>
      <w:r>
        <w:rPr>
          <w:rFonts w:ascii="Times New Roman" w:cs="Times New Roman" w:hAnsiTheme="minorEastAsia" w:eastAsiaTheme="minorEastAsia"/>
          <w:b/>
          <w:bCs/>
          <w:color w:val="000000"/>
          <w:sz w:val="44"/>
          <w:szCs w:val="44"/>
        </w:rPr>
        <w:t>申报说明</w:t>
      </w:r>
    </w:p>
    <w:p>
      <w:pPr>
        <w:pStyle w:val="5"/>
        <w:numPr>
          <w:ilvl w:val="0"/>
          <w:numId w:val="1"/>
        </w:numPr>
        <w:spacing w:before="0" w:beforeAutospacing="0" w:after="0" w:afterAutospacing="0" w:line="360" w:lineRule="auto"/>
        <w:rPr>
          <w:rFonts w:ascii="Times New Roman" w:hAnsi="Times New Roman" w:eastAsia="仿宋" w:cs="Times New Roman"/>
          <w:color w:val="333333"/>
          <w:sz w:val="32"/>
          <w:szCs w:val="32"/>
        </w:rPr>
      </w:pPr>
      <w:r>
        <w:rPr>
          <w:rFonts w:hint="eastAsia" w:ascii="仿宋" w:hAnsi="仿宋" w:eastAsia="仿宋" w:cs="Times New Roman"/>
          <w:b/>
          <w:color w:val="333333"/>
          <w:sz w:val="32"/>
          <w:szCs w:val="32"/>
        </w:rPr>
        <w:t>研究生课程思政标杆</w:t>
      </w:r>
      <w:r>
        <w:rPr>
          <w:rFonts w:ascii="仿宋" w:hAnsi="仿宋" w:eastAsia="仿宋" w:cs="Times New Roman"/>
          <w:b/>
          <w:color w:val="333333"/>
          <w:sz w:val="32"/>
          <w:szCs w:val="32"/>
        </w:rPr>
        <w:t>课程培育</w:t>
      </w:r>
      <w:r>
        <w:rPr>
          <w:rStyle w:val="8"/>
          <w:rFonts w:hint="eastAsia" w:ascii="Times New Roman" w:hAnsi="仿宋" w:eastAsia="仿宋" w:cs="Times New Roman"/>
          <w:bCs w:val="0"/>
          <w:color w:val="333333"/>
          <w:sz w:val="32"/>
          <w:szCs w:val="32"/>
        </w:rPr>
        <w:t>项目</w:t>
      </w:r>
    </w:p>
    <w:p>
      <w:pPr>
        <w:pStyle w:val="5"/>
        <w:spacing w:before="0" w:beforeAutospacing="0" w:after="0" w:afterAutospacing="0" w:line="360" w:lineRule="auto"/>
        <w:ind w:firstLine="640" w:firstLineChars="200"/>
        <w:rPr>
          <w:rFonts w:ascii="Times New Roman" w:hAnsi="Times New Roman" w:eastAsia="仿宋" w:cs="Times New Roman"/>
          <w:color w:val="333333"/>
          <w:sz w:val="32"/>
          <w:szCs w:val="32"/>
        </w:rPr>
      </w:pPr>
      <w:r>
        <w:rPr>
          <w:rStyle w:val="8"/>
          <w:rFonts w:ascii="Times New Roman" w:hAnsi="仿宋" w:eastAsia="仿宋" w:cs="Times New Roman"/>
          <w:b w:val="0"/>
          <w:bCs w:val="0"/>
          <w:color w:val="333333"/>
          <w:sz w:val="32"/>
          <w:szCs w:val="32"/>
        </w:rPr>
        <w:t>（一）立项宗旨及运行机制</w:t>
      </w:r>
    </w:p>
    <w:p>
      <w:pPr>
        <w:autoSpaceDE w:val="0"/>
        <w:autoSpaceDN w:val="0"/>
        <w:adjustRightInd w:val="0"/>
        <w:spacing w:line="360" w:lineRule="auto"/>
        <w:ind w:firstLine="480" w:firstLineChars="150"/>
        <w:jc w:val="left"/>
        <w:rPr>
          <w:rFonts w:hAnsi="仿宋" w:eastAsia="仿宋"/>
          <w:color w:val="auto"/>
          <w:szCs w:val="32"/>
        </w:rPr>
      </w:pPr>
      <w:r>
        <w:rPr>
          <w:rFonts w:hint="eastAsia" w:hAnsi="仿宋" w:eastAsia="仿宋"/>
          <w:color w:val="auto"/>
          <w:szCs w:val="32"/>
        </w:rPr>
        <w:t>为深入贯彻落实习近平总书记关于教育的重要论述和全国</w:t>
      </w:r>
    </w:p>
    <w:p>
      <w:pPr>
        <w:autoSpaceDE w:val="0"/>
        <w:autoSpaceDN w:val="0"/>
        <w:adjustRightInd w:val="0"/>
        <w:spacing w:line="360" w:lineRule="auto"/>
        <w:jc w:val="left"/>
        <w:rPr>
          <w:rFonts w:hAnsi="仿宋" w:eastAsia="仿宋"/>
          <w:color w:val="auto"/>
          <w:szCs w:val="32"/>
        </w:rPr>
      </w:pPr>
      <w:r>
        <w:rPr>
          <w:rFonts w:hint="eastAsia" w:hAnsi="仿宋" w:eastAsia="仿宋"/>
          <w:color w:val="auto"/>
          <w:szCs w:val="32"/>
        </w:rPr>
        <w:t>研究生教育</w:t>
      </w:r>
      <w:r>
        <w:rPr>
          <w:rFonts w:hAnsi="仿宋" w:eastAsia="仿宋"/>
          <w:color w:val="auto"/>
          <w:szCs w:val="32"/>
        </w:rPr>
        <w:t>会议</w:t>
      </w:r>
      <w:r>
        <w:rPr>
          <w:rFonts w:hint="eastAsia" w:hAnsi="仿宋" w:eastAsia="仿宋"/>
          <w:color w:val="auto"/>
          <w:szCs w:val="32"/>
        </w:rPr>
        <w:t>精神，贯彻落实教育部《高等学校课程思政建设指导纲要》（教高〔</w:t>
      </w:r>
      <w:r>
        <w:rPr>
          <w:rFonts w:hAnsi="仿宋" w:eastAsia="仿宋"/>
          <w:color w:val="auto"/>
          <w:szCs w:val="32"/>
        </w:rPr>
        <w:t>2020</w:t>
      </w:r>
      <w:r>
        <w:rPr>
          <w:rFonts w:hint="eastAsia" w:hAnsi="仿宋" w:eastAsia="仿宋"/>
          <w:color w:val="auto"/>
          <w:szCs w:val="32"/>
        </w:rPr>
        <w:t>〕</w:t>
      </w:r>
      <w:r>
        <w:rPr>
          <w:rFonts w:hAnsi="仿宋" w:eastAsia="仿宋"/>
          <w:color w:val="auto"/>
          <w:szCs w:val="32"/>
        </w:rPr>
        <w:t xml:space="preserve">3 </w:t>
      </w:r>
      <w:r>
        <w:rPr>
          <w:rFonts w:hint="eastAsia" w:hAnsi="仿宋" w:eastAsia="仿宋"/>
          <w:color w:val="auto"/>
          <w:szCs w:val="32"/>
        </w:rPr>
        <w:t>号），结合《南京大学关于加强研究生课程思政建设的实施方案》（南研院〔2021〕41号），把思想政治教育贯穿人才培养体系，融合新时代中国特色社会主义建设者培养、南京大学“双一流”建设及研究生自身发展三方面的需求，发挥好每门课程的育人作用，全面推进研究生课程思政建设，培育一批研究生课程思政标杆课程，设立研究生</w:t>
      </w:r>
      <w:r>
        <w:rPr>
          <w:rFonts w:hAnsi="仿宋" w:eastAsia="仿宋"/>
          <w:color w:val="auto"/>
          <w:szCs w:val="32"/>
        </w:rPr>
        <w:t>课程思政</w:t>
      </w:r>
      <w:r>
        <w:rPr>
          <w:rFonts w:hint="eastAsia" w:hAnsi="仿宋" w:eastAsia="仿宋"/>
          <w:color w:val="auto"/>
          <w:szCs w:val="32"/>
        </w:rPr>
        <w:t>标杆</w:t>
      </w:r>
      <w:r>
        <w:rPr>
          <w:rFonts w:hAnsi="仿宋" w:eastAsia="仿宋"/>
          <w:color w:val="auto"/>
          <w:szCs w:val="32"/>
        </w:rPr>
        <w:t>课程培育</w:t>
      </w:r>
      <w:r>
        <w:rPr>
          <w:rFonts w:hint="eastAsia" w:hAnsi="仿宋" w:eastAsia="仿宋"/>
          <w:color w:val="auto"/>
          <w:szCs w:val="32"/>
        </w:rPr>
        <w:t>项目</w:t>
      </w:r>
      <w:r>
        <w:rPr>
          <w:rFonts w:hAnsi="仿宋" w:eastAsia="仿宋"/>
          <w:color w:val="auto"/>
          <w:szCs w:val="32"/>
        </w:rPr>
        <w:t>。</w:t>
      </w:r>
    </w:p>
    <w:p>
      <w:pPr>
        <w:spacing w:line="360" w:lineRule="auto"/>
        <w:ind w:firstLine="640" w:firstLineChars="200"/>
        <w:outlineLvl w:val="0"/>
        <w:rPr>
          <w:rFonts w:eastAsia="仿宋"/>
          <w:bCs/>
          <w:color w:val="auto"/>
          <w:szCs w:val="32"/>
        </w:rPr>
      </w:pPr>
      <w:r>
        <w:rPr>
          <w:rFonts w:hAnsi="仿宋" w:eastAsia="仿宋"/>
          <w:bCs/>
          <w:color w:val="auto"/>
          <w:szCs w:val="32"/>
        </w:rPr>
        <w:t>（二）申报条件</w:t>
      </w:r>
    </w:p>
    <w:p>
      <w:pPr>
        <w:autoSpaceDE w:val="0"/>
        <w:autoSpaceDN w:val="0"/>
        <w:adjustRightInd w:val="0"/>
        <w:spacing w:line="360" w:lineRule="auto"/>
        <w:ind w:firstLine="640" w:firstLineChars="200"/>
        <w:jc w:val="left"/>
        <w:rPr>
          <w:rFonts w:hAnsi="仿宋" w:eastAsia="仿宋"/>
          <w:color w:val="auto"/>
          <w:szCs w:val="32"/>
        </w:rPr>
      </w:pPr>
      <w:r>
        <w:rPr>
          <w:rFonts w:hint="eastAsia" w:hAnsi="仿宋" w:eastAsia="仿宋"/>
          <w:color w:val="auto"/>
          <w:szCs w:val="32"/>
        </w:rPr>
        <w:t>1、课程</w:t>
      </w:r>
      <w:r>
        <w:rPr>
          <w:rFonts w:hAnsi="仿宋" w:eastAsia="仿宋"/>
          <w:color w:val="auto"/>
          <w:szCs w:val="32"/>
        </w:rPr>
        <w:t>负责人</w:t>
      </w:r>
      <w:r>
        <w:rPr>
          <w:rFonts w:hint="eastAsia" w:hAnsi="仿宋" w:eastAsia="仿宋"/>
          <w:color w:val="auto"/>
          <w:szCs w:val="32"/>
        </w:rPr>
        <w:t>与教学团队师德师风优秀，具有优秀的思想政治素质和道德品质；具备丰富的教学经验和较高的科研能力，致力于将</w:t>
      </w:r>
      <w:r>
        <w:rPr>
          <w:rFonts w:hAnsi="仿宋" w:eastAsia="仿宋"/>
          <w:color w:val="auto"/>
          <w:szCs w:val="32"/>
        </w:rPr>
        <w:t>课程思政融入</w:t>
      </w:r>
      <w:r>
        <w:rPr>
          <w:rFonts w:hint="eastAsia" w:hAnsi="仿宋" w:eastAsia="仿宋"/>
          <w:color w:val="auto"/>
          <w:szCs w:val="32"/>
        </w:rPr>
        <w:t>课堂</w:t>
      </w:r>
      <w:r>
        <w:rPr>
          <w:rFonts w:hAnsi="仿宋" w:eastAsia="仿宋"/>
          <w:color w:val="auto"/>
          <w:szCs w:val="32"/>
        </w:rPr>
        <w:t>教学建设全过程。</w:t>
      </w:r>
    </w:p>
    <w:p>
      <w:pPr>
        <w:spacing w:line="360" w:lineRule="auto"/>
        <w:ind w:firstLine="640" w:firstLineChars="200"/>
        <w:rPr>
          <w:rFonts w:hAnsi="仿宋" w:eastAsia="仿宋"/>
          <w:color w:val="auto"/>
          <w:szCs w:val="32"/>
        </w:rPr>
      </w:pPr>
      <w:r>
        <w:rPr>
          <w:rFonts w:hint="eastAsia" w:hAnsi="仿宋" w:eastAsia="仿宋"/>
          <w:color w:val="auto"/>
          <w:szCs w:val="32"/>
        </w:rPr>
        <w:t>2、课程负责人宜为本校骨干教师或学科带头人，学术造诣高，具有丰富的研究生教学经验，亦鼓励青千、优青、青长、青拔、登峰等优秀青年教师积极申报。</w:t>
      </w:r>
    </w:p>
    <w:p>
      <w:pPr>
        <w:spacing w:line="360" w:lineRule="auto"/>
        <w:ind w:firstLine="640" w:firstLineChars="200"/>
        <w:rPr>
          <w:rFonts w:hAnsi="仿宋" w:eastAsia="仿宋"/>
          <w:color w:val="auto"/>
          <w:szCs w:val="32"/>
        </w:rPr>
      </w:pPr>
      <w:r>
        <w:rPr>
          <w:rFonts w:hAnsi="仿宋" w:eastAsia="仿宋"/>
          <w:color w:val="auto"/>
          <w:szCs w:val="32"/>
        </w:rPr>
        <w:t>3</w:t>
      </w:r>
      <w:r>
        <w:rPr>
          <w:rFonts w:hint="eastAsia" w:hAnsi="仿宋" w:eastAsia="仿宋"/>
          <w:color w:val="auto"/>
          <w:szCs w:val="32"/>
        </w:rPr>
        <w:t>、</w:t>
      </w:r>
      <w:r>
        <w:rPr>
          <w:rFonts w:hint="eastAsia" w:eastAsia="仿宋"/>
          <w:color w:val="auto"/>
          <w:szCs w:val="32"/>
        </w:rPr>
        <w:t>在院系“三个一百”课程建设规划中的课程优先立项。</w:t>
      </w:r>
    </w:p>
    <w:p>
      <w:pPr>
        <w:spacing w:line="360" w:lineRule="auto"/>
        <w:ind w:firstLine="640" w:firstLineChars="200"/>
        <w:outlineLvl w:val="0"/>
        <w:rPr>
          <w:rFonts w:hAnsi="仿宋" w:eastAsia="仿宋"/>
          <w:bCs/>
          <w:color w:val="auto"/>
          <w:szCs w:val="32"/>
        </w:rPr>
      </w:pPr>
      <w:r>
        <w:rPr>
          <w:rFonts w:hint="eastAsia" w:hAnsi="仿宋" w:eastAsia="仿宋"/>
          <w:bCs/>
          <w:color w:val="auto"/>
          <w:szCs w:val="32"/>
        </w:rPr>
        <w:t>（三）申报名额</w:t>
      </w:r>
    </w:p>
    <w:p>
      <w:pPr>
        <w:spacing w:line="360" w:lineRule="auto"/>
        <w:ind w:firstLine="640" w:firstLineChars="200"/>
        <w:rPr>
          <w:rFonts w:hAnsi="仿宋" w:eastAsia="仿宋"/>
          <w:color w:val="auto"/>
          <w:szCs w:val="32"/>
        </w:rPr>
      </w:pPr>
      <w:r>
        <w:rPr>
          <w:rFonts w:hint="eastAsia" w:hAnsi="仿宋" w:eastAsia="仿宋"/>
          <w:color w:val="auto"/>
          <w:szCs w:val="32"/>
        </w:rPr>
        <w:t>各院系限申报2门。</w:t>
      </w:r>
    </w:p>
    <w:p>
      <w:pPr>
        <w:spacing w:line="360" w:lineRule="auto"/>
        <w:ind w:firstLine="640" w:firstLineChars="200"/>
        <w:rPr>
          <w:rFonts w:hAnsi="仿宋" w:eastAsia="仿宋"/>
          <w:color w:val="auto"/>
          <w:szCs w:val="32"/>
        </w:rPr>
      </w:pPr>
      <w:r>
        <w:rPr>
          <w:rFonts w:hint="eastAsia" w:hAnsi="仿宋" w:eastAsia="仿宋"/>
          <w:color w:val="auto"/>
          <w:szCs w:val="32"/>
        </w:rPr>
        <w:t>（四）建设要求</w:t>
      </w:r>
    </w:p>
    <w:p>
      <w:pPr>
        <w:autoSpaceDE w:val="0"/>
        <w:autoSpaceDN w:val="0"/>
        <w:adjustRightInd w:val="0"/>
        <w:spacing w:line="360" w:lineRule="auto"/>
        <w:ind w:firstLine="640" w:firstLineChars="200"/>
        <w:jc w:val="left"/>
        <w:rPr>
          <w:rFonts w:ascii="仿宋_GB2312" w:cs="仿宋_GB2312"/>
          <w:color w:val="auto"/>
          <w:kern w:val="0"/>
          <w:szCs w:val="32"/>
        </w:rPr>
      </w:pPr>
      <w:r>
        <w:rPr>
          <w:rFonts w:hAnsi="仿宋" w:eastAsia="仿宋"/>
          <w:color w:val="auto"/>
          <w:szCs w:val="32"/>
        </w:rPr>
        <w:t>1</w:t>
      </w:r>
      <w:r>
        <w:rPr>
          <w:rFonts w:hint="eastAsia" w:hAnsi="仿宋" w:eastAsia="仿宋"/>
          <w:color w:val="auto"/>
          <w:szCs w:val="32"/>
        </w:rPr>
        <w:t>、</w:t>
      </w:r>
      <w:r>
        <w:rPr>
          <w:rFonts w:hint="eastAsia" w:ascii="仿宋_GB2312" w:cs="仿宋_GB2312"/>
          <w:color w:val="auto"/>
          <w:kern w:val="0"/>
          <w:szCs w:val="32"/>
        </w:rPr>
        <w:t>积极落实立德树人根本任务，将课程思政融入课堂教学建设全过程，落实到课程目标设计、教学大纲修订、教材编审选用、教案课件编写各方面，贯穿于课堂授课、教学研讨、实验实训、作业论文各环节。</w:t>
      </w:r>
    </w:p>
    <w:p>
      <w:pPr>
        <w:spacing w:line="360" w:lineRule="auto"/>
        <w:ind w:firstLine="640" w:firstLineChars="200"/>
        <w:rPr>
          <w:rFonts w:ascii="仿宋_GB2312" w:cs="仿宋_GB2312"/>
          <w:color w:val="auto"/>
          <w:kern w:val="0"/>
          <w:szCs w:val="32"/>
        </w:rPr>
      </w:pPr>
      <w:r>
        <w:rPr>
          <w:rFonts w:hint="eastAsia" w:hAnsi="仿宋" w:eastAsia="仿宋"/>
          <w:color w:val="auto"/>
          <w:szCs w:val="32"/>
        </w:rPr>
        <w:t>2、</w:t>
      </w:r>
      <w:r>
        <w:rPr>
          <w:rFonts w:hint="eastAsia" w:ascii="仿宋_GB2312" w:cs="仿宋_GB2312"/>
          <w:color w:val="auto"/>
          <w:kern w:val="0"/>
          <w:szCs w:val="32"/>
        </w:rPr>
        <w:t>深入梳理专业课教学内容，结合不同课程特点、思维方法和价值理念，深入挖掘课程思政元素，有机融入课程教学，达到润物无声的育人效果。</w:t>
      </w:r>
    </w:p>
    <w:p>
      <w:pPr>
        <w:autoSpaceDE w:val="0"/>
        <w:autoSpaceDN w:val="0"/>
        <w:adjustRightInd w:val="0"/>
        <w:spacing w:line="360" w:lineRule="auto"/>
        <w:ind w:firstLine="480" w:firstLineChars="150"/>
        <w:jc w:val="left"/>
        <w:rPr>
          <w:rFonts w:ascii="仿宋_GB2312" w:cs="仿宋_GB2312"/>
          <w:color w:val="auto"/>
          <w:kern w:val="0"/>
          <w:szCs w:val="32"/>
        </w:rPr>
      </w:pPr>
      <w:r>
        <w:rPr>
          <w:rFonts w:hint="eastAsia" w:ascii="仿宋_GB2312" w:cs="仿宋_GB2312"/>
          <w:color w:val="auto"/>
          <w:kern w:val="0"/>
          <w:szCs w:val="32"/>
        </w:rPr>
        <w:t>——文学、历史学、哲学类专业课程。要在课程教学中帮助</w:t>
      </w:r>
    </w:p>
    <w:p>
      <w:pPr>
        <w:autoSpaceDE w:val="0"/>
        <w:autoSpaceDN w:val="0"/>
        <w:adjustRightInd w:val="0"/>
        <w:spacing w:line="360" w:lineRule="auto"/>
        <w:jc w:val="left"/>
        <w:rPr>
          <w:rFonts w:ascii="仿宋_GB2312" w:cs="仿宋_GB2312"/>
          <w:color w:val="auto"/>
          <w:kern w:val="0"/>
          <w:szCs w:val="32"/>
        </w:rPr>
      </w:pPr>
      <w:r>
        <w:rPr>
          <w:rFonts w:hint="eastAsia" w:ascii="仿宋_GB2312" w:cs="仿宋_GB2312"/>
          <w:color w:val="auto"/>
          <w:kern w:val="0"/>
          <w:szCs w:val="32"/>
        </w:rPr>
        <w:t>学生掌握马克思主义世界观和方法论，从历史与现实、理论与实践等维度深刻理解习近平新时代中国特色社会主义思想。要结合专业知识教育引导学生深刻理解社会主义核心价值观，自觉弘扬中华优秀传统文化、革命文化、社会主义先进文化。</w:t>
      </w:r>
    </w:p>
    <w:p>
      <w:pPr>
        <w:autoSpaceDE w:val="0"/>
        <w:autoSpaceDN w:val="0"/>
        <w:adjustRightInd w:val="0"/>
        <w:spacing w:line="360" w:lineRule="auto"/>
        <w:ind w:firstLine="480" w:firstLineChars="150"/>
        <w:jc w:val="left"/>
        <w:rPr>
          <w:rFonts w:ascii="仿宋_GB2312" w:cs="仿宋_GB2312"/>
          <w:color w:val="auto"/>
          <w:kern w:val="0"/>
          <w:szCs w:val="32"/>
        </w:rPr>
      </w:pPr>
      <w:r>
        <w:rPr>
          <w:rFonts w:hint="eastAsia" w:ascii="仿宋_GB2312" w:cs="仿宋_GB2312"/>
          <w:color w:val="auto"/>
          <w:kern w:val="0"/>
          <w:szCs w:val="32"/>
        </w:rPr>
        <w:t>——经济学、管理学、法学类专业课程。要在课程教学中坚持以马克思主义为指导，加快构建中国特色哲学社会科学学科体系、学术体系、话语体系。要帮助学生了解相关专业和行业领域的国家战略、法律法规和相关政策，引导学生深入社会实践、关注现实问题，培育学生经世济民、诚信服务、德法兼修的职业素养。</w:t>
      </w:r>
    </w:p>
    <w:p>
      <w:pPr>
        <w:autoSpaceDE w:val="0"/>
        <w:autoSpaceDN w:val="0"/>
        <w:adjustRightInd w:val="0"/>
        <w:spacing w:line="360" w:lineRule="auto"/>
        <w:ind w:firstLine="480" w:firstLineChars="150"/>
        <w:jc w:val="left"/>
        <w:rPr>
          <w:rFonts w:ascii="仿宋_GB2312" w:cs="仿宋_GB2312"/>
          <w:color w:val="auto"/>
          <w:kern w:val="0"/>
          <w:szCs w:val="32"/>
        </w:rPr>
      </w:pPr>
      <w:r>
        <w:rPr>
          <w:rFonts w:hint="eastAsia" w:ascii="仿宋_GB2312" w:cs="仿宋_GB2312"/>
          <w:color w:val="auto"/>
          <w:kern w:val="0"/>
          <w:szCs w:val="32"/>
        </w:rPr>
        <w:t>——教育学类专业课程。要在课程教学中注重加强师德师风教育，突出课堂育德、典型树德、规则立德，引导学生树立学为人师、行为世范的职业理想，培育爱国守法、规范从教的职业操守，培养学生传道情怀、授业底蕴、解惑能力，把对家国的爱、对教育的爱、对学生的爱融为一体，自觉以德立身、以德立学、以德施教，争做有理想信念、有道德情操、有扎实学识、有仁爱之心的“四有”好老师，坚定不移走中国特色社会主义教育发展道路。</w:t>
      </w:r>
    </w:p>
    <w:p>
      <w:pPr>
        <w:autoSpaceDE w:val="0"/>
        <w:autoSpaceDN w:val="0"/>
        <w:adjustRightInd w:val="0"/>
        <w:spacing w:line="360" w:lineRule="auto"/>
        <w:ind w:firstLine="480" w:firstLineChars="150"/>
        <w:jc w:val="left"/>
        <w:rPr>
          <w:rFonts w:ascii="仿宋_GB2312" w:cs="仿宋_GB2312"/>
          <w:color w:val="auto"/>
          <w:kern w:val="0"/>
          <w:szCs w:val="32"/>
        </w:rPr>
      </w:pPr>
      <w:r>
        <w:rPr>
          <w:rFonts w:hint="eastAsia" w:ascii="仿宋_GB2312" w:cs="仿宋_GB2312"/>
          <w:color w:val="auto"/>
          <w:kern w:val="0"/>
          <w:szCs w:val="32"/>
        </w:rPr>
        <w:t>——体育类课程要树立健康第一的教育理念，注重爱国主义教育和传统文化教育，培养学生顽强拼搏、奋斗有我的信念，激发学生提升全民族身体素质的责任感。</w:t>
      </w:r>
    </w:p>
    <w:p>
      <w:pPr>
        <w:autoSpaceDE w:val="0"/>
        <w:autoSpaceDN w:val="0"/>
        <w:adjustRightInd w:val="0"/>
        <w:spacing w:line="360" w:lineRule="auto"/>
        <w:ind w:firstLine="480" w:firstLineChars="150"/>
        <w:jc w:val="left"/>
        <w:rPr>
          <w:rFonts w:ascii="仿宋_GB2312" w:cs="仿宋_GB2312"/>
          <w:color w:val="auto"/>
          <w:kern w:val="0"/>
          <w:szCs w:val="32"/>
        </w:rPr>
      </w:pPr>
      <w:r>
        <w:rPr>
          <w:rFonts w:hint="eastAsia" w:ascii="仿宋_GB2312" w:cs="仿宋_GB2312"/>
          <w:color w:val="auto"/>
          <w:kern w:val="0"/>
          <w:szCs w:val="32"/>
        </w:rPr>
        <w:t>——理学、工学类专业课程。要在课程教学中把马克思主义立场观点方法的教育与科学精神的培养结合起来，提高学生正确认识问题、分析问题和解决问题的能力。理学类专业课程，要注重科学思维方法的训练和科学伦理的教育，培养学生探索未知、追求真理、勇攀科学高峰的责任感和使命感。工学类专业课程，要注重强化学生工程伦理教育，培养学生精益求精的大国工匠精神，激发学生科技报国的家国情怀和使命担当。</w:t>
      </w:r>
    </w:p>
    <w:p>
      <w:pPr>
        <w:autoSpaceDE w:val="0"/>
        <w:autoSpaceDN w:val="0"/>
        <w:adjustRightInd w:val="0"/>
        <w:spacing w:line="360" w:lineRule="auto"/>
        <w:ind w:firstLine="480" w:firstLineChars="150"/>
        <w:jc w:val="left"/>
        <w:rPr>
          <w:rFonts w:ascii="仿宋_GB2312" w:cs="仿宋_GB2312"/>
          <w:color w:val="auto"/>
          <w:kern w:val="0"/>
          <w:szCs w:val="32"/>
        </w:rPr>
      </w:pPr>
      <w:r>
        <w:rPr>
          <w:rFonts w:hint="eastAsia" w:ascii="仿宋_GB2312" w:cs="仿宋_GB2312"/>
          <w:color w:val="auto"/>
          <w:kern w:val="0"/>
          <w:szCs w:val="32"/>
        </w:rPr>
        <w:t>——医学类专业课程。要在课程教学中注重加强医德医风教育，着力培养学生“敬佑生命、救死扶伤、甘于奉献、大爱无疆”的医者精神，注重加强医者仁心教育，在培养精湛医术的同时，教育引导学生始终把人民群众生命安全和身体健康放在首位，尊重患者，善于沟通，提升综合素养和人文修养，提升依法应对重大突发公共卫生事件能力，做党和人民信赖的好医生。</w:t>
      </w:r>
    </w:p>
    <w:p>
      <w:pPr>
        <w:autoSpaceDE w:val="0"/>
        <w:autoSpaceDN w:val="0"/>
        <w:adjustRightInd w:val="0"/>
        <w:spacing w:line="360" w:lineRule="auto"/>
        <w:ind w:firstLine="480" w:firstLineChars="150"/>
        <w:jc w:val="left"/>
        <w:rPr>
          <w:rFonts w:ascii="仿宋_GB2312" w:cs="仿宋_GB2312"/>
          <w:color w:val="auto"/>
          <w:kern w:val="0"/>
          <w:szCs w:val="32"/>
        </w:rPr>
      </w:pPr>
      <w:r>
        <w:rPr>
          <w:rFonts w:hint="eastAsia" w:ascii="仿宋_GB2312" w:cs="仿宋_GB2312"/>
          <w:color w:val="auto"/>
          <w:kern w:val="0"/>
          <w:szCs w:val="32"/>
        </w:rPr>
        <w:t>——艺术学类专业课程。要在课程教学中教育引导学生立足时代、扎根人民、深入生活，树立正确的艺术观和创作观。要坚持以美育人、以美化人，积极弘扬中华美育精神，引导学生自觉传承和弘扬中华优秀传统文化，全面提高学生的审美和人文素养，增强文化自信。</w:t>
      </w:r>
    </w:p>
    <w:p>
      <w:pPr>
        <w:autoSpaceDE w:val="0"/>
        <w:autoSpaceDN w:val="0"/>
        <w:adjustRightInd w:val="0"/>
        <w:spacing w:line="360" w:lineRule="auto"/>
        <w:jc w:val="left"/>
        <w:rPr>
          <w:rFonts w:ascii="仿宋_GB2312" w:cs="仿宋_GB2312"/>
          <w:color w:val="auto"/>
          <w:kern w:val="0"/>
          <w:szCs w:val="32"/>
        </w:rPr>
      </w:pPr>
    </w:p>
    <w:p>
      <w:pPr>
        <w:pStyle w:val="5"/>
        <w:spacing w:before="0" w:beforeAutospacing="0" w:after="0" w:afterAutospacing="0" w:line="360" w:lineRule="auto"/>
        <w:rPr>
          <w:rStyle w:val="8"/>
          <w:rFonts w:ascii="Times New Roman" w:hAnsi="仿宋" w:eastAsia="仿宋" w:cs="Times New Roman"/>
          <w:color w:val="auto"/>
          <w:sz w:val="32"/>
          <w:szCs w:val="32"/>
        </w:rPr>
      </w:pPr>
      <w:r>
        <w:rPr>
          <w:rStyle w:val="8"/>
          <w:rFonts w:hint="eastAsia" w:ascii="Times New Roman" w:hAnsi="仿宋" w:eastAsia="仿宋" w:cs="Times New Roman"/>
          <w:color w:val="auto"/>
          <w:sz w:val="32"/>
          <w:szCs w:val="32"/>
        </w:rPr>
        <w:t>二、研究生品牌教材建设项目</w:t>
      </w:r>
    </w:p>
    <w:p>
      <w:pPr>
        <w:pStyle w:val="5"/>
        <w:spacing w:before="0" w:beforeAutospacing="0" w:after="0" w:afterAutospacing="0" w:line="360" w:lineRule="auto"/>
        <w:ind w:firstLine="640" w:firstLineChars="200"/>
        <w:rPr>
          <w:rStyle w:val="8"/>
          <w:rFonts w:ascii="Times New Roman" w:hAnsi="Times New Roman" w:eastAsia="仿宋" w:cs="Times New Roman"/>
          <w:b w:val="0"/>
          <w:bCs w:val="0"/>
          <w:color w:val="auto"/>
          <w:sz w:val="32"/>
          <w:szCs w:val="32"/>
        </w:rPr>
      </w:pPr>
      <w:r>
        <w:rPr>
          <w:rStyle w:val="8"/>
          <w:rFonts w:ascii="Times New Roman" w:hAnsi="仿宋" w:eastAsia="仿宋" w:cs="Times New Roman"/>
          <w:b w:val="0"/>
          <w:bCs w:val="0"/>
          <w:color w:val="auto"/>
          <w:sz w:val="32"/>
          <w:szCs w:val="32"/>
        </w:rPr>
        <w:t>（一）立项宗旨及运行机制</w:t>
      </w:r>
    </w:p>
    <w:p>
      <w:pPr>
        <w:spacing w:line="360" w:lineRule="auto"/>
        <w:ind w:firstLine="640" w:firstLineChars="200"/>
        <w:rPr>
          <w:rFonts w:hAnsi="仿宋" w:eastAsia="仿宋"/>
          <w:color w:val="auto"/>
          <w:szCs w:val="32"/>
        </w:rPr>
      </w:pPr>
      <w:r>
        <w:rPr>
          <w:rFonts w:hint="eastAsia" w:hAnsi="仿宋" w:eastAsia="仿宋"/>
          <w:color w:val="auto"/>
          <w:szCs w:val="32"/>
        </w:rPr>
        <w:t>该项目旨在加强研究生教材建设，鼓励教师编写高质量的教材，严格把握教材的思想性，强化教材的前沿性和专业性</w:t>
      </w:r>
      <w:r>
        <w:rPr>
          <w:rFonts w:hAnsi="仿宋" w:eastAsia="仿宋"/>
          <w:color w:val="auto"/>
          <w:szCs w:val="32"/>
        </w:rPr>
        <w:t>。</w:t>
      </w:r>
      <w:r>
        <w:rPr>
          <w:rFonts w:hint="eastAsia" w:hAnsi="仿宋" w:eastAsia="仿宋"/>
          <w:color w:val="auto"/>
          <w:szCs w:val="32"/>
        </w:rPr>
        <w:t>该项目</w:t>
      </w:r>
      <w:r>
        <w:rPr>
          <w:rFonts w:hAnsi="仿宋" w:eastAsia="仿宋"/>
          <w:color w:val="auto"/>
          <w:szCs w:val="32"/>
        </w:rPr>
        <w:t>面向有志</w:t>
      </w:r>
      <w:r>
        <w:rPr>
          <w:rFonts w:hint="eastAsia" w:hAnsi="仿宋" w:eastAsia="仿宋"/>
          <w:color w:val="auto"/>
          <w:szCs w:val="32"/>
        </w:rPr>
        <w:t>编写研究生教材</w:t>
      </w:r>
      <w:r>
        <w:rPr>
          <w:rFonts w:hAnsi="仿宋" w:eastAsia="仿宋"/>
          <w:color w:val="auto"/>
          <w:szCs w:val="32"/>
        </w:rPr>
        <w:t>的校内在职教师</w:t>
      </w:r>
      <w:r>
        <w:rPr>
          <w:rFonts w:hint="eastAsia" w:hAnsi="仿宋" w:eastAsia="仿宋"/>
          <w:color w:val="auto"/>
          <w:szCs w:val="32"/>
        </w:rPr>
        <w:t>设立。教材出版前，根据各项目实际需求下拨建设经费。</w:t>
      </w:r>
    </w:p>
    <w:p>
      <w:pPr>
        <w:spacing w:line="360" w:lineRule="auto"/>
        <w:ind w:firstLine="640" w:firstLineChars="200"/>
        <w:outlineLvl w:val="0"/>
        <w:rPr>
          <w:rFonts w:eastAsia="仿宋"/>
          <w:bCs/>
          <w:color w:val="auto"/>
          <w:szCs w:val="32"/>
        </w:rPr>
      </w:pPr>
      <w:r>
        <w:rPr>
          <w:rFonts w:hAnsi="仿宋" w:eastAsia="仿宋"/>
          <w:bCs/>
          <w:color w:val="auto"/>
          <w:szCs w:val="32"/>
        </w:rPr>
        <w:t>（二）申报条件</w:t>
      </w:r>
    </w:p>
    <w:p>
      <w:pPr>
        <w:spacing w:line="360" w:lineRule="auto"/>
        <w:ind w:firstLine="640" w:firstLineChars="200"/>
        <w:rPr>
          <w:rFonts w:eastAsia="仿宋"/>
          <w:color w:val="auto"/>
          <w:szCs w:val="32"/>
        </w:rPr>
      </w:pPr>
      <w:r>
        <w:rPr>
          <w:rFonts w:hAnsi="仿宋" w:eastAsia="仿宋"/>
          <w:color w:val="auto"/>
          <w:szCs w:val="32"/>
        </w:rPr>
        <w:t>申请人应具备以下条件：</w:t>
      </w:r>
    </w:p>
    <w:p>
      <w:pPr>
        <w:autoSpaceDE w:val="0"/>
        <w:autoSpaceDN w:val="0"/>
        <w:adjustRightInd w:val="0"/>
        <w:spacing w:line="360" w:lineRule="auto"/>
        <w:ind w:firstLine="640" w:firstLineChars="200"/>
        <w:jc w:val="left"/>
        <w:rPr>
          <w:rFonts w:hAnsi="仿宋" w:eastAsia="仿宋"/>
          <w:color w:val="auto"/>
          <w:szCs w:val="32"/>
        </w:rPr>
      </w:pPr>
      <w:r>
        <w:rPr>
          <w:rFonts w:hint="eastAsia" w:hAnsi="仿宋" w:eastAsia="仿宋"/>
          <w:color w:val="auto"/>
          <w:szCs w:val="32"/>
        </w:rPr>
        <w:t>1、</w:t>
      </w:r>
      <w:r>
        <w:rPr>
          <w:rFonts w:hAnsi="仿宋" w:eastAsia="仿宋"/>
          <w:color w:val="auto"/>
          <w:szCs w:val="32"/>
        </w:rPr>
        <w:t>项目负责人</w:t>
      </w:r>
      <w:r>
        <w:rPr>
          <w:rFonts w:hint="eastAsia" w:hAnsi="仿宋" w:eastAsia="仿宋"/>
          <w:color w:val="auto"/>
          <w:szCs w:val="32"/>
        </w:rPr>
        <w:t>与教学团队师德师风优秀，具有优秀的思想政治素质和道德品质；具备丰富的教学经验和较高的科研能力，在教材编写中融入先进前沿的教学理念，推进研究生教学改革；</w:t>
      </w:r>
    </w:p>
    <w:p>
      <w:pPr>
        <w:spacing w:line="360" w:lineRule="auto"/>
        <w:ind w:firstLine="640" w:firstLineChars="200"/>
        <w:rPr>
          <w:rFonts w:eastAsia="仿宋"/>
          <w:color w:val="auto"/>
          <w:szCs w:val="32"/>
        </w:rPr>
      </w:pPr>
      <w:r>
        <w:rPr>
          <w:rFonts w:hint="eastAsia" w:eastAsia="仿宋"/>
          <w:color w:val="auto"/>
          <w:szCs w:val="32"/>
        </w:rPr>
        <w:t>2、在院系“三个一百”课程建设规划中的课程优先立项。</w:t>
      </w:r>
    </w:p>
    <w:p>
      <w:pPr>
        <w:spacing w:line="360" w:lineRule="auto"/>
        <w:ind w:firstLine="640" w:firstLineChars="200"/>
        <w:rPr>
          <w:rFonts w:eastAsia="仿宋"/>
          <w:color w:val="auto"/>
          <w:szCs w:val="32"/>
        </w:rPr>
      </w:pPr>
      <w:r>
        <w:rPr>
          <w:rFonts w:hint="eastAsia" w:eastAsia="仿宋"/>
          <w:color w:val="auto"/>
          <w:szCs w:val="32"/>
        </w:rPr>
        <w:t>（三）申报名额</w:t>
      </w:r>
    </w:p>
    <w:p>
      <w:pPr>
        <w:spacing w:line="360" w:lineRule="auto"/>
        <w:ind w:firstLine="640" w:firstLineChars="200"/>
        <w:rPr>
          <w:rFonts w:hint="eastAsia" w:hAnsi="仿宋" w:eastAsia="仿宋"/>
          <w:color w:val="auto"/>
          <w:szCs w:val="32"/>
        </w:rPr>
      </w:pPr>
      <w:r>
        <w:rPr>
          <w:rFonts w:hint="eastAsia" w:hAnsi="仿宋" w:eastAsia="仿宋"/>
          <w:color w:val="auto"/>
          <w:szCs w:val="32"/>
          <w:lang w:val="en-US" w:eastAsia="zh-CN"/>
        </w:rPr>
        <w:t>1、</w:t>
      </w:r>
      <w:r>
        <w:rPr>
          <w:rFonts w:hint="eastAsia" w:hAnsi="仿宋" w:eastAsia="仿宋"/>
          <w:color w:val="auto"/>
          <w:szCs w:val="32"/>
        </w:rPr>
        <w:t>各院系限申报2门。</w:t>
      </w:r>
    </w:p>
    <w:p>
      <w:pPr>
        <w:spacing w:line="360" w:lineRule="auto"/>
        <w:ind w:firstLine="640" w:firstLineChars="200"/>
        <w:rPr>
          <w:rFonts w:hint="default" w:hAnsi="仿宋" w:eastAsia="仿宋"/>
          <w:color w:val="auto"/>
          <w:szCs w:val="32"/>
          <w:lang w:val="en-US" w:eastAsia="zh-CN"/>
        </w:rPr>
      </w:pPr>
      <w:r>
        <w:rPr>
          <w:rFonts w:hint="eastAsia" w:hAnsi="仿宋" w:eastAsia="仿宋"/>
          <w:color w:val="auto"/>
          <w:szCs w:val="32"/>
          <w:lang w:val="en-US" w:eastAsia="zh-CN"/>
        </w:rPr>
        <w:t>2、鼓励各学科编写学术行为规范、科学道德案例、论文写作指导类教材，此类教材不占院系名额。</w:t>
      </w:r>
    </w:p>
    <w:p>
      <w:pPr>
        <w:spacing w:line="360" w:lineRule="auto"/>
        <w:ind w:firstLine="640" w:firstLineChars="200"/>
        <w:rPr>
          <w:rFonts w:hAnsi="仿宋" w:eastAsia="仿宋"/>
          <w:color w:val="auto"/>
          <w:szCs w:val="32"/>
        </w:rPr>
      </w:pPr>
      <w:r>
        <w:rPr>
          <w:rFonts w:hint="eastAsia" w:hAnsi="仿宋" w:eastAsia="仿宋"/>
          <w:color w:val="auto"/>
          <w:szCs w:val="32"/>
        </w:rPr>
        <w:t>（四）建设要求</w:t>
      </w:r>
    </w:p>
    <w:p>
      <w:pPr>
        <w:spacing w:line="360" w:lineRule="auto"/>
        <w:ind w:firstLine="640" w:firstLineChars="200"/>
        <w:rPr>
          <w:rFonts w:hAnsi="仿宋" w:eastAsia="仿宋"/>
          <w:color w:val="auto"/>
          <w:szCs w:val="32"/>
        </w:rPr>
      </w:pPr>
      <w:r>
        <w:rPr>
          <w:rFonts w:hint="eastAsia" w:hAnsi="仿宋" w:eastAsia="仿宋"/>
          <w:color w:val="auto"/>
          <w:szCs w:val="32"/>
        </w:rPr>
        <w:t>1、按照“内容前沿、体系完善、层次清晰、特色突出”的原则，制定教材建设方案；</w:t>
      </w:r>
    </w:p>
    <w:p>
      <w:pPr>
        <w:spacing w:line="360" w:lineRule="auto"/>
        <w:ind w:firstLine="640" w:firstLineChars="200"/>
        <w:rPr>
          <w:rFonts w:hAnsi="仿宋" w:eastAsia="仿宋"/>
          <w:color w:val="auto"/>
          <w:szCs w:val="32"/>
        </w:rPr>
      </w:pPr>
      <w:r>
        <w:rPr>
          <w:rFonts w:hint="eastAsia" w:hAnsi="仿宋" w:eastAsia="仿宋"/>
          <w:color w:val="auto"/>
          <w:szCs w:val="32"/>
        </w:rPr>
        <w:t>2、鼓励知名学科专家合作主持编写高水平、有特色的研究生教材。</w:t>
      </w:r>
    </w:p>
    <w:p>
      <w:pPr>
        <w:spacing w:line="360" w:lineRule="auto"/>
        <w:ind w:firstLine="640" w:firstLineChars="200"/>
        <w:rPr>
          <w:rFonts w:hAnsi="仿宋" w:eastAsia="仿宋"/>
          <w:color w:val="auto"/>
          <w:szCs w:val="32"/>
        </w:rPr>
      </w:pPr>
      <w:r>
        <w:rPr>
          <w:rFonts w:hint="eastAsia" w:hAnsi="仿宋" w:eastAsia="仿宋"/>
          <w:color w:val="auto"/>
          <w:szCs w:val="32"/>
        </w:rPr>
        <w:t>3、教材编写须符合《南京大学研究生教材建设与管理办法》（南研院〔2021〕6号）相关规定。各院系在教材出版前须坚持“凡编必审”原则，组织审核，教材审核通过后方可出版。</w:t>
      </w:r>
    </w:p>
    <w:p>
      <w:pPr>
        <w:spacing w:line="360" w:lineRule="auto"/>
        <w:ind w:firstLine="643" w:firstLineChars="200"/>
        <w:rPr>
          <w:rFonts w:eastAsia="仿宋"/>
          <w:b/>
          <w:bCs/>
          <w:szCs w:val="32"/>
        </w:rPr>
      </w:pPr>
      <w:bookmarkStart w:id="0" w:name="_GoBack"/>
      <w:bookmarkEnd w:id="0"/>
    </w:p>
    <w:p>
      <w:pPr>
        <w:spacing w:line="360" w:lineRule="auto"/>
        <w:ind w:firstLine="640" w:firstLineChars="200"/>
        <w:jc w:val="right"/>
        <w:rPr>
          <w:rFonts w:eastAsia="仿宋"/>
          <w:szCs w:val="32"/>
        </w:rPr>
      </w:pPr>
      <w:r>
        <w:rPr>
          <w:rFonts w:hint="eastAsia" w:eastAsia="仿宋"/>
          <w:szCs w:val="32"/>
        </w:rPr>
        <w:t>研究生院</w:t>
      </w:r>
    </w:p>
    <w:p>
      <w:pPr>
        <w:spacing w:line="360" w:lineRule="auto"/>
        <w:ind w:firstLine="640" w:firstLineChars="200"/>
        <w:rPr>
          <w:rFonts w:eastAsia="仿宋"/>
          <w:szCs w:val="32"/>
        </w:rPr>
      </w:pPr>
      <w:r>
        <w:rPr>
          <w:rFonts w:hint="eastAsia" w:eastAsia="仿宋"/>
          <w:szCs w:val="32"/>
        </w:rPr>
        <w:t xml:space="preserve">                                   20</w:t>
      </w:r>
      <w:r>
        <w:rPr>
          <w:rFonts w:eastAsia="仿宋"/>
          <w:szCs w:val="32"/>
        </w:rPr>
        <w:t>2</w:t>
      </w:r>
      <w:r>
        <w:rPr>
          <w:rFonts w:hint="eastAsia" w:eastAsia="仿宋"/>
          <w:szCs w:val="32"/>
        </w:rPr>
        <w:t>1年11月16日</w:t>
      </w:r>
    </w:p>
    <w:sectPr>
      <w:pgSz w:w="11906" w:h="16838"/>
      <w:pgMar w:top="1797" w:right="1440" w:bottom="1797" w:left="144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F12432"/>
    <w:multiLevelType w:val="singleLevel"/>
    <w:tmpl w:val="E8F1243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13FD1"/>
    <w:rsid w:val="000060F4"/>
    <w:rsid w:val="00016596"/>
    <w:rsid w:val="000362E9"/>
    <w:rsid w:val="00052362"/>
    <w:rsid w:val="00053DB4"/>
    <w:rsid w:val="00055DBF"/>
    <w:rsid w:val="00066DE5"/>
    <w:rsid w:val="00067F80"/>
    <w:rsid w:val="00072AA9"/>
    <w:rsid w:val="000E3F66"/>
    <w:rsid w:val="001A5A72"/>
    <w:rsid w:val="001F103E"/>
    <w:rsid w:val="001F6A93"/>
    <w:rsid w:val="00213FD1"/>
    <w:rsid w:val="0023268A"/>
    <w:rsid w:val="00237245"/>
    <w:rsid w:val="00277246"/>
    <w:rsid w:val="002B2EAF"/>
    <w:rsid w:val="00313E11"/>
    <w:rsid w:val="00350AD2"/>
    <w:rsid w:val="003628B2"/>
    <w:rsid w:val="003B1566"/>
    <w:rsid w:val="003C469E"/>
    <w:rsid w:val="00402103"/>
    <w:rsid w:val="00410FE8"/>
    <w:rsid w:val="00456283"/>
    <w:rsid w:val="00480E50"/>
    <w:rsid w:val="00572C2A"/>
    <w:rsid w:val="005A5672"/>
    <w:rsid w:val="0060634C"/>
    <w:rsid w:val="0063153D"/>
    <w:rsid w:val="006351FB"/>
    <w:rsid w:val="00657E50"/>
    <w:rsid w:val="006811A9"/>
    <w:rsid w:val="006C095E"/>
    <w:rsid w:val="006D1CE1"/>
    <w:rsid w:val="006F6116"/>
    <w:rsid w:val="007140DB"/>
    <w:rsid w:val="00717E80"/>
    <w:rsid w:val="00722584"/>
    <w:rsid w:val="0074269C"/>
    <w:rsid w:val="00747F27"/>
    <w:rsid w:val="007A04AF"/>
    <w:rsid w:val="007C2D5A"/>
    <w:rsid w:val="007F6A5C"/>
    <w:rsid w:val="00846F89"/>
    <w:rsid w:val="00875530"/>
    <w:rsid w:val="008C4006"/>
    <w:rsid w:val="009034DF"/>
    <w:rsid w:val="00935E24"/>
    <w:rsid w:val="0094762C"/>
    <w:rsid w:val="009D0327"/>
    <w:rsid w:val="009D48AF"/>
    <w:rsid w:val="009E6D39"/>
    <w:rsid w:val="00A11CC1"/>
    <w:rsid w:val="00A613B7"/>
    <w:rsid w:val="00A63ECF"/>
    <w:rsid w:val="00A860D7"/>
    <w:rsid w:val="00A86FB6"/>
    <w:rsid w:val="00AB1584"/>
    <w:rsid w:val="00B10AEA"/>
    <w:rsid w:val="00B604CF"/>
    <w:rsid w:val="00B626F6"/>
    <w:rsid w:val="00B7064D"/>
    <w:rsid w:val="00B73F96"/>
    <w:rsid w:val="00BC65B6"/>
    <w:rsid w:val="00BE6741"/>
    <w:rsid w:val="00C36B16"/>
    <w:rsid w:val="00C3787F"/>
    <w:rsid w:val="00C60C09"/>
    <w:rsid w:val="00CD7446"/>
    <w:rsid w:val="00D161A8"/>
    <w:rsid w:val="00D93066"/>
    <w:rsid w:val="00DD2E56"/>
    <w:rsid w:val="00DD4775"/>
    <w:rsid w:val="00E75452"/>
    <w:rsid w:val="00E87D2B"/>
    <w:rsid w:val="00EB12BD"/>
    <w:rsid w:val="00EB398B"/>
    <w:rsid w:val="00EE2A9A"/>
    <w:rsid w:val="00F13F12"/>
    <w:rsid w:val="00F6350E"/>
    <w:rsid w:val="00F85E73"/>
    <w:rsid w:val="00F90438"/>
    <w:rsid w:val="01F53E5B"/>
    <w:rsid w:val="0578155B"/>
    <w:rsid w:val="06A5734A"/>
    <w:rsid w:val="08CA3B90"/>
    <w:rsid w:val="092062B1"/>
    <w:rsid w:val="0B837649"/>
    <w:rsid w:val="0BB76CAA"/>
    <w:rsid w:val="0BE03285"/>
    <w:rsid w:val="0E1B2ECC"/>
    <w:rsid w:val="0E1C16FF"/>
    <w:rsid w:val="0F24717E"/>
    <w:rsid w:val="0F6A49FC"/>
    <w:rsid w:val="102D4E15"/>
    <w:rsid w:val="147D7898"/>
    <w:rsid w:val="16C2558F"/>
    <w:rsid w:val="199C20E8"/>
    <w:rsid w:val="1AC41A2C"/>
    <w:rsid w:val="1B7D37E9"/>
    <w:rsid w:val="20A10662"/>
    <w:rsid w:val="26A679D5"/>
    <w:rsid w:val="300864ED"/>
    <w:rsid w:val="30272C7D"/>
    <w:rsid w:val="31C33A95"/>
    <w:rsid w:val="33072A56"/>
    <w:rsid w:val="33CC1338"/>
    <w:rsid w:val="33E037BB"/>
    <w:rsid w:val="3C844950"/>
    <w:rsid w:val="41AB50DA"/>
    <w:rsid w:val="4735134C"/>
    <w:rsid w:val="4AF42942"/>
    <w:rsid w:val="4F7441BB"/>
    <w:rsid w:val="4FD208C7"/>
    <w:rsid w:val="50276FC3"/>
    <w:rsid w:val="522E3CEF"/>
    <w:rsid w:val="563761DC"/>
    <w:rsid w:val="5DE72545"/>
    <w:rsid w:val="5F4D0088"/>
    <w:rsid w:val="5FD84B5A"/>
    <w:rsid w:val="604E5BEB"/>
    <w:rsid w:val="63FE3D02"/>
    <w:rsid w:val="6578146A"/>
    <w:rsid w:val="709C15A0"/>
    <w:rsid w:val="724537B7"/>
    <w:rsid w:val="73F82EEE"/>
    <w:rsid w:val="77B33C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Char"/>
    <w:basedOn w:val="7"/>
    <w:link w:val="4"/>
    <w:qFormat/>
    <w:uiPriority w:val="99"/>
    <w:rPr>
      <w:rFonts w:ascii="Times New Roman" w:hAnsi="Times New Roman" w:eastAsia="仿宋_GB2312" w:cs="Times New Roman"/>
      <w:sz w:val="18"/>
      <w:szCs w:val="18"/>
    </w:rPr>
  </w:style>
  <w:style w:type="character" w:customStyle="1" w:styleId="10">
    <w:name w:val="页脚 Char"/>
    <w:basedOn w:val="7"/>
    <w:link w:val="3"/>
    <w:qFormat/>
    <w:uiPriority w:val="99"/>
    <w:rPr>
      <w:rFonts w:ascii="Times New Roman" w:hAnsi="Times New Roman" w:eastAsia="仿宋_GB2312" w:cs="Times New Roman"/>
      <w:sz w:val="18"/>
      <w:szCs w:val="18"/>
    </w:rPr>
  </w:style>
  <w:style w:type="character" w:customStyle="1" w:styleId="11">
    <w:name w:val="日期 Char"/>
    <w:basedOn w:val="7"/>
    <w:link w:val="2"/>
    <w:semiHidden/>
    <w:qFormat/>
    <w:uiPriority w:val="99"/>
    <w:rPr>
      <w:rFonts w:eastAsia="仿宋_GB2312"/>
      <w:kern w:val="2"/>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323</Words>
  <Characters>1842</Characters>
  <Lines>15</Lines>
  <Paragraphs>4</Paragraphs>
  <TotalTime>33</TotalTime>
  <ScaleCrop>false</ScaleCrop>
  <LinksUpToDate>false</LinksUpToDate>
  <CharactersWithSpaces>2161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2020-11-11T08:05:00Z</dcterms:created>
  <dc:creator>J</dc:creator>
  <cp:lastModifiedBy>Maxi</cp:lastModifiedBy>
  <cp:lastPrinted>2021-11-17T00:57:00Z</cp:lastPrinted>
  <dcterms:modified xsi:type="dcterms:W3CDTF">2021-11-17T02:46:21Z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006B33771F87499EAE6B93832D159D1A</vt:lpwstr>
  </property>
</Properties>
</file>