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A4" w:rsidRPr="00235968" w:rsidRDefault="00C750A4" w:rsidP="00164564">
      <w:pPr>
        <w:tabs>
          <w:tab w:val="right" w:pos="540"/>
        </w:tabs>
        <w:snapToGrid w:val="0"/>
        <w:spacing w:line="360" w:lineRule="auto"/>
        <w:ind w:right="-153"/>
        <w:jc w:val="center"/>
        <w:rPr>
          <w:rFonts w:ascii="黑体" w:eastAsia="黑体" w:hAnsi="黑体"/>
          <w:b/>
          <w:sz w:val="32"/>
          <w:szCs w:val="32"/>
        </w:rPr>
      </w:pPr>
      <w:r w:rsidRPr="00235968">
        <w:rPr>
          <w:rFonts w:ascii="黑体" w:eastAsia="黑体" w:hAnsi="黑体"/>
          <w:b/>
          <w:sz w:val="32"/>
          <w:szCs w:val="32"/>
        </w:rPr>
        <w:t>环境</w:t>
      </w:r>
      <w:r w:rsidR="00704D57">
        <w:rPr>
          <w:rFonts w:ascii="黑体" w:eastAsia="黑体" w:hAnsi="黑体" w:hint="eastAsia"/>
          <w:b/>
          <w:sz w:val="32"/>
          <w:szCs w:val="32"/>
        </w:rPr>
        <w:t>工程</w:t>
      </w:r>
      <w:r w:rsidRPr="00235968">
        <w:rPr>
          <w:rFonts w:ascii="黑体" w:eastAsia="黑体" w:hAnsi="黑体"/>
          <w:b/>
          <w:sz w:val="32"/>
          <w:szCs w:val="32"/>
        </w:rPr>
        <w:t>专业(08300</w:t>
      </w:r>
      <w:r w:rsidR="00704D57">
        <w:rPr>
          <w:rFonts w:ascii="黑体" w:eastAsia="黑体" w:hAnsi="黑体" w:hint="eastAsia"/>
          <w:b/>
          <w:sz w:val="32"/>
          <w:szCs w:val="32"/>
        </w:rPr>
        <w:t>2</w:t>
      </w:r>
      <w:r w:rsidRPr="00235968">
        <w:rPr>
          <w:rFonts w:ascii="黑体" w:eastAsia="黑体" w:hAnsi="黑体"/>
          <w:b/>
          <w:sz w:val="32"/>
          <w:szCs w:val="32"/>
        </w:rPr>
        <w:t>)</w:t>
      </w:r>
      <w:r w:rsidR="00B659E3">
        <w:rPr>
          <w:rFonts w:ascii="黑体" w:eastAsia="黑体" w:hAnsi="黑体" w:hint="eastAsia"/>
          <w:b/>
          <w:sz w:val="32"/>
          <w:szCs w:val="32"/>
        </w:rPr>
        <w:t>专硕</w:t>
      </w:r>
      <w:r w:rsidRPr="00235968">
        <w:rPr>
          <w:rFonts w:ascii="黑体" w:eastAsia="黑体" w:hAnsi="黑体"/>
          <w:b/>
          <w:sz w:val="32"/>
          <w:szCs w:val="32"/>
        </w:rPr>
        <w:t>培养方案</w:t>
      </w:r>
    </w:p>
    <w:p w:rsidR="00C750A4" w:rsidRDefault="00C750A4" w:rsidP="00164564">
      <w:pPr>
        <w:tabs>
          <w:tab w:val="right" w:pos="8280"/>
        </w:tabs>
        <w:adjustRightInd w:val="0"/>
        <w:snapToGrid w:val="0"/>
        <w:spacing w:line="360" w:lineRule="auto"/>
        <w:ind w:right="-3060" w:hanging="2157"/>
        <w:rPr>
          <w:rFonts w:ascii="幼圆" w:eastAsia="幼圆"/>
          <w:b/>
          <w:sz w:val="28"/>
        </w:rPr>
      </w:pPr>
    </w:p>
    <w:p w:rsidR="00C750A4" w:rsidRPr="00235968" w:rsidRDefault="007618E4"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一、培养方案</w:t>
      </w:r>
    </w:p>
    <w:p w:rsidR="00810A22" w:rsidRPr="00810A22" w:rsidRDefault="007618E4" w:rsidP="00164564">
      <w:pPr>
        <w:tabs>
          <w:tab w:val="right" w:pos="900"/>
        </w:tabs>
        <w:adjustRightInd w:val="0"/>
        <w:snapToGrid w:val="0"/>
        <w:spacing w:line="360" w:lineRule="auto"/>
        <w:ind w:firstLineChars="150" w:firstLine="360"/>
        <w:rPr>
          <w:rFonts w:eastAsiaTheme="majorEastAsia" w:hAnsiTheme="majorEastAsia"/>
          <w:sz w:val="24"/>
        </w:rPr>
      </w:pPr>
      <w:r w:rsidRPr="007618E4">
        <w:rPr>
          <w:rFonts w:eastAsiaTheme="majorEastAsia"/>
          <w:sz w:val="24"/>
        </w:rPr>
        <w:t>1.</w:t>
      </w:r>
      <w:r w:rsidR="00810A22" w:rsidRPr="00810A22">
        <w:rPr>
          <w:rFonts w:eastAsiaTheme="majorEastAsia" w:hAnsiTheme="majorEastAsia" w:hint="eastAsia"/>
          <w:sz w:val="24"/>
        </w:rPr>
        <w:t>热爱祖国、遵纪守法、坚持真理、献身科学，具备严谨求实的科学态度和优良的职业道德。</w:t>
      </w:r>
    </w:p>
    <w:p w:rsidR="00810A22" w:rsidRDefault="00810A22" w:rsidP="00164564">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2.</w:t>
      </w:r>
      <w:r w:rsidRPr="00810A22">
        <w:rPr>
          <w:rFonts w:eastAsiaTheme="majorEastAsia" w:hAnsiTheme="majorEastAsia" w:hint="eastAsia"/>
          <w:sz w:val="24"/>
        </w:rPr>
        <w:t>具备高度的环境意识和环境保护事业赋予的责任感，在“知识”、“能力”、“做人”三方面，全面发展，成为能够为我国社会经济可持续发展作出贡献的环境保护专门人才。</w:t>
      </w:r>
    </w:p>
    <w:p w:rsidR="00810A22" w:rsidRDefault="00810A22" w:rsidP="00164564">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3.</w:t>
      </w:r>
      <w:r w:rsidRPr="00810A22">
        <w:rPr>
          <w:rFonts w:eastAsiaTheme="majorEastAsia" w:hAnsiTheme="majorEastAsia" w:hint="eastAsia"/>
          <w:sz w:val="24"/>
        </w:rPr>
        <w:t>具备环境工程方面扎实的基础知识及解决实际环境问题的技能和能力；熟悉和了解本专业的发展进程和学术动态；具备独立从事环境工程设计、污染防治工艺技术研究开发及成果转化的能力。进入本专业的博士研究生应对环境科学与工程一级学科和相关的学科领域有着广泛的了解和系统的专业知识，具有较强的创新和独立工作能力。</w:t>
      </w:r>
    </w:p>
    <w:p w:rsidR="00810A22" w:rsidRPr="00810A22" w:rsidRDefault="00810A22" w:rsidP="00164564">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4.</w:t>
      </w:r>
      <w:r w:rsidRPr="00810A22">
        <w:rPr>
          <w:rFonts w:eastAsiaTheme="majorEastAsia" w:hAnsiTheme="majorEastAsia" w:hint="eastAsia"/>
          <w:sz w:val="24"/>
        </w:rPr>
        <w:t>掌握一至二门外语，具备良好的国内外学术交流的能力，能熟练使用第一外语阅读专业书籍查阅文献并撰写论文，博士生应能熟练使用第一外语听说读写。</w:t>
      </w:r>
    </w:p>
    <w:p w:rsidR="007F5CC0" w:rsidRPr="00235968" w:rsidRDefault="007F5CC0"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b/>
          <w:sz w:val="30"/>
        </w:rPr>
        <w:t>二</w:t>
      </w:r>
      <w:r w:rsidRPr="00235968">
        <w:rPr>
          <w:rFonts w:ascii="黑体" w:eastAsia="黑体" w:hAnsi="黑体" w:hint="eastAsia"/>
          <w:b/>
          <w:sz w:val="30"/>
        </w:rPr>
        <w:t>、学科介绍</w:t>
      </w:r>
    </w:p>
    <w:p w:rsidR="008B17D8" w:rsidRPr="000151BF" w:rsidRDefault="008B17D8" w:rsidP="008B17D8">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南京大学环境工程系</w:t>
      </w:r>
      <w:r w:rsidRPr="00810A22">
        <w:rPr>
          <w:rFonts w:eastAsiaTheme="majorEastAsia" w:hAnsiTheme="majorEastAsia" w:hint="eastAsia"/>
          <w:sz w:val="24"/>
        </w:rPr>
        <w:t>成立于</w:t>
      </w:r>
      <w:r w:rsidRPr="00810A22">
        <w:rPr>
          <w:rFonts w:eastAsiaTheme="majorEastAsia" w:hAnsiTheme="majorEastAsia" w:hint="eastAsia"/>
          <w:sz w:val="24"/>
        </w:rPr>
        <w:t>1999</w:t>
      </w:r>
      <w:r w:rsidRPr="00810A22">
        <w:rPr>
          <w:rFonts w:eastAsiaTheme="majorEastAsia" w:hAnsiTheme="majorEastAsia" w:hint="eastAsia"/>
          <w:sz w:val="24"/>
        </w:rPr>
        <w:t>年，前身为</w:t>
      </w:r>
      <w:r w:rsidRPr="00810A22">
        <w:rPr>
          <w:rFonts w:eastAsiaTheme="majorEastAsia" w:hAnsiTheme="majorEastAsia" w:hint="eastAsia"/>
          <w:sz w:val="24"/>
        </w:rPr>
        <w:t>1993</w:t>
      </w:r>
      <w:r w:rsidRPr="00810A22">
        <w:rPr>
          <w:rFonts w:eastAsiaTheme="majorEastAsia" w:hAnsiTheme="majorEastAsia" w:hint="eastAsia"/>
          <w:sz w:val="24"/>
        </w:rPr>
        <w:t>年由张全兴院士创建的环境工程教研室。该系设有环境工程本科生专业、硕士点、环境工程和环境材料工程博士点、环境科学与工程博士后流动站</w:t>
      </w:r>
    </w:p>
    <w:p w:rsidR="008B17D8" w:rsidRPr="00810A22" w:rsidRDefault="008B17D8" w:rsidP="008B17D8">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环境工程系</w:t>
      </w:r>
      <w:r w:rsidRPr="00810A22">
        <w:rPr>
          <w:rFonts w:eastAsiaTheme="majorEastAsia" w:hAnsiTheme="majorEastAsia" w:hint="eastAsia"/>
          <w:sz w:val="24"/>
        </w:rPr>
        <w:t>依托环境学院理工结合的优势，在国内兄弟院系中具有鲜明的特色。教学上在强调工程专业的实践性和动手能力的同时，致力于发挥南京大学文理工科齐全的综合优势，培养功底扎实、文理融汇、视野开阔、逻辑思维和创新能力强、综合素质高的环境工程专业人才。</w:t>
      </w:r>
    </w:p>
    <w:p w:rsidR="00E63F8E" w:rsidRPr="007F5CC0" w:rsidRDefault="008B17D8" w:rsidP="008B17D8">
      <w:pPr>
        <w:tabs>
          <w:tab w:val="right" w:pos="900"/>
        </w:tabs>
        <w:adjustRightInd w:val="0"/>
        <w:snapToGrid w:val="0"/>
        <w:spacing w:line="360" w:lineRule="auto"/>
        <w:ind w:firstLineChars="150" w:firstLine="360"/>
        <w:rPr>
          <w:rFonts w:eastAsiaTheme="majorEastAsia" w:hAnsiTheme="majorEastAsia"/>
          <w:sz w:val="24"/>
        </w:rPr>
      </w:pPr>
      <w:r>
        <w:rPr>
          <w:rFonts w:eastAsiaTheme="majorEastAsia" w:hAnsiTheme="majorEastAsia" w:hint="eastAsia"/>
          <w:sz w:val="24"/>
        </w:rPr>
        <w:t>该系</w:t>
      </w:r>
      <w:r w:rsidRPr="00810A22">
        <w:rPr>
          <w:rFonts w:eastAsiaTheme="majorEastAsia" w:hAnsiTheme="majorEastAsia" w:hint="eastAsia"/>
          <w:sz w:val="24"/>
        </w:rPr>
        <w:t>国际学术交流活动频繁，与美国、欧洲以及港台等地的大学和研究机构有着广泛的合作，自</w:t>
      </w:r>
      <w:r w:rsidRPr="00810A22">
        <w:rPr>
          <w:rFonts w:eastAsiaTheme="majorEastAsia" w:hAnsiTheme="majorEastAsia" w:hint="eastAsia"/>
          <w:sz w:val="24"/>
        </w:rPr>
        <w:t>08</w:t>
      </w:r>
      <w:r w:rsidRPr="00810A22">
        <w:rPr>
          <w:rFonts w:eastAsiaTheme="majorEastAsia" w:hAnsiTheme="majorEastAsia" w:hint="eastAsia"/>
          <w:sz w:val="24"/>
        </w:rPr>
        <w:t>年起每年选派优秀研究生前往欧美各著名高校进行科学之旅的暑期交流。</w:t>
      </w:r>
    </w:p>
    <w:p w:rsidR="005B57A6" w:rsidRPr="005D1EAF" w:rsidRDefault="005B57A6" w:rsidP="00164564">
      <w:pPr>
        <w:widowControl/>
        <w:adjustRightInd w:val="0"/>
        <w:snapToGrid w:val="0"/>
        <w:spacing w:line="360" w:lineRule="auto"/>
        <w:ind w:leftChars="267" w:left="561"/>
        <w:jc w:val="left"/>
        <w:rPr>
          <w:rFonts w:ascii="Times" w:hAnsi="Times"/>
          <w:color w:val="000000" w:themeColor="text1"/>
          <w:kern w:val="0"/>
          <w:sz w:val="20"/>
        </w:rPr>
      </w:pPr>
      <w:r w:rsidRPr="005D1EAF">
        <w:rPr>
          <w:rFonts w:ascii="宋体" w:hAnsi="宋体" w:hint="eastAsia"/>
          <w:b/>
          <w:bCs/>
          <w:color w:val="000000" w:themeColor="text1"/>
          <w:kern w:val="0"/>
          <w:sz w:val="28"/>
          <w:szCs w:val="28"/>
        </w:rPr>
        <w:t>研究方向</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t>1. 水污染控制过程</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t>2. 毒害有机污染物控制及资源化</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lastRenderedPageBreak/>
        <w:t>3. 清洁生产工程与环境友好材料</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t>4. 大气污染防治</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t>5. 固体废弃物的处理与处置</w:t>
      </w:r>
    </w:p>
    <w:p w:rsidR="00437657"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sz w:val="24"/>
          <w:szCs w:val="24"/>
        </w:rPr>
      </w:pPr>
      <w:r w:rsidRPr="005D1EAF">
        <w:rPr>
          <w:rFonts w:asciiTheme="majorEastAsia" w:eastAsiaTheme="majorEastAsia" w:hAnsiTheme="majorEastAsia" w:hint="eastAsia"/>
          <w:color w:val="000000" w:themeColor="text1"/>
          <w:sz w:val="24"/>
          <w:szCs w:val="24"/>
        </w:rPr>
        <w:t>6. 生态修复工程</w:t>
      </w:r>
    </w:p>
    <w:p w:rsidR="005B57A6" w:rsidRPr="005D1EAF" w:rsidRDefault="005B57A6" w:rsidP="00164564">
      <w:pPr>
        <w:widowControl/>
        <w:adjustRightInd w:val="0"/>
        <w:snapToGrid w:val="0"/>
        <w:spacing w:line="360" w:lineRule="auto"/>
        <w:ind w:firstLineChars="200" w:firstLine="562"/>
        <w:jc w:val="left"/>
        <w:rPr>
          <w:rFonts w:ascii="Times" w:hAnsi="Times"/>
          <w:color w:val="000000" w:themeColor="text1"/>
          <w:kern w:val="0"/>
          <w:sz w:val="20"/>
        </w:rPr>
      </w:pPr>
      <w:r w:rsidRPr="005D1EAF">
        <w:rPr>
          <w:rFonts w:ascii="宋体" w:hAnsi="宋体" w:hint="eastAsia"/>
          <w:b/>
          <w:bCs/>
          <w:color w:val="000000" w:themeColor="text1"/>
          <w:kern w:val="0"/>
          <w:sz w:val="28"/>
          <w:szCs w:val="28"/>
        </w:rPr>
        <w:t>师资力量</w:t>
      </w:r>
    </w:p>
    <w:p w:rsidR="005B57A6" w:rsidRPr="005D1EAF" w:rsidRDefault="00437657" w:rsidP="00164564">
      <w:pPr>
        <w:widowControl/>
        <w:adjustRightInd w:val="0"/>
        <w:snapToGrid w:val="0"/>
        <w:spacing w:line="360" w:lineRule="auto"/>
        <w:ind w:firstLineChars="200" w:firstLine="480"/>
        <w:jc w:val="left"/>
        <w:rPr>
          <w:rFonts w:asciiTheme="majorEastAsia" w:eastAsiaTheme="majorEastAsia" w:hAnsiTheme="majorEastAsia"/>
          <w:color w:val="000000" w:themeColor="text1"/>
          <w:kern w:val="0"/>
          <w:sz w:val="24"/>
          <w:szCs w:val="24"/>
        </w:rPr>
      </w:pPr>
      <w:r w:rsidRPr="005D1EAF">
        <w:rPr>
          <w:rFonts w:asciiTheme="majorEastAsia" w:eastAsiaTheme="majorEastAsia" w:hAnsiTheme="majorEastAsia" w:hint="eastAsia"/>
          <w:color w:val="000000" w:themeColor="text1"/>
          <w:sz w:val="24"/>
          <w:szCs w:val="24"/>
        </w:rPr>
        <w:t>环境工程系现有</w:t>
      </w:r>
      <w:r w:rsidRPr="005D1EAF">
        <w:rPr>
          <w:rFonts w:asciiTheme="majorEastAsia" w:eastAsiaTheme="majorEastAsia" w:hAnsiTheme="majorEastAsia"/>
          <w:color w:val="000000" w:themeColor="text1"/>
          <w:sz w:val="24"/>
          <w:szCs w:val="24"/>
        </w:rPr>
        <w:t>教授</w:t>
      </w:r>
      <w:r w:rsidRPr="005D1EAF">
        <w:rPr>
          <w:rFonts w:asciiTheme="majorEastAsia" w:eastAsiaTheme="majorEastAsia" w:hAnsiTheme="majorEastAsia" w:hint="eastAsia"/>
          <w:color w:val="000000" w:themeColor="text1"/>
          <w:sz w:val="24"/>
          <w:szCs w:val="24"/>
        </w:rPr>
        <w:t>13</w:t>
      </w:r>
      <w:r w:rsidRPr="005D1EAF">
        <w:rPr>
          <w:rFonts w:asciiTheme="majorEastAsia" w:eastAsiaTheme="majorEastAsia" w:hAnsiTheme="majorEastAsia"/>
          <w:color w:val="000000" w:themeColor="text1"/>
          <w:sz w:val="24"/>
          <w:szCs w:val="24"/>
        </w:rPr>
        <w:t>名，副教授1</w:t>
      </w:r>
      <w:r w:rsidRPr="005D1EAF">
        <w:rPr>
          <w:rFonts w:asciiTheme="majorEastAsia" w:eastAsiaTheme="majorEastAsia" w:hAnsiTheme="majorEastAsia" w:hint="eastAsia"/>
          <w:color w:val="000000" w:themeColor="text1"/>
          <w:sz w:val="24"/>
          <w:szCs w:val="24"/>
        </w:rPr>
        <w:t>6</w:t>
      </w:r>
      <w:r w:rsidRPr="005D1EAF">
        <w:rPr>
          <w:rFonts w:asciiTheme="majorEastAsia" w:eastAsiaTheme="majorEastAsia" w:hAnsiTheme="majorEastAsia"/>
          <w:color w:val="000000" w:themeColor="text1"/>
          <w:sz w:val="24"/>
          <w:szCs w:val="24"/>
        </w:rPr>
        <w:t>名；中国工程院院士1名，</w:t>
      </w:r>
      <w:r w:rsidRPr="005D1EAF">
        <w:rPr>
          <w:rFonts w:asciiTheme="majorEastAsia" w:eastAsiaTheme="majorEastAsia" w:hAnsiTheme="majorEastAsia" w:hint="eastAsia"/>
          <w:color w:val="000000" w:themeColor="text1"/>
          <w:sz w:val="24"/>
          <w:szCs w:val="24"/>
        </w:rPr>
        <w:t>教育部长江学者3名，</w:t>
      </w:r>
      <w:r w:rsidRPr="005D1EAF">
        <w:rPr>
          <w:rFonts w:asciiTheme="majorEastAsia" w:eastAsiaTheme="majorEastAsia" w:hAnsiTheme="majorEastAsia"/>
          <w:color w:val="000000" w:themeColor="text1"/>
          <w:sz w:val="24"/>
          <w:szCs w:val="24"/>
        </w:rPr>
        <w:t>国家杰出青年基金获得者1名，教育部新世纪优秀人才</w:t>
      </w:r>
      <w:r w:rsidRPr="005D1EAF">
        <w:rPr>
          <w:rFonts w:asciiTheme="majorEastAsia" w:eastAsiaTheme="majorEastAsia" w:hAnsiTheme="majorEastAsia" w:hint="eastAsia"/>
          <w:color w:val="000000" w:themeColor="text1"/>
          <w:sz w:val="24"/>
          <w:szCs w:val="24"/>
        </w:rPr>
        <w:t>3</w:t>
      </w:r>
      <w:r w:rsidRPr="005D1EAF">
        <w:rPr>
          <w:rFonts w:asciiTheme="majorEastAsia" w:eastAsiaTheme="majorEastAsia" w:hAnsiTheme="majorEastAsia"/>
          <w:color w:val="000000" w:themeColor="text1"/>
          <w:sz w:val="24"/>
          <w:szCs w:val="24"/>
        </w:rPr>
        <w:t>名</w:t>
      </w:r>
      <w:r w:rsidRPr="005D1EAF">
        <w:rPr>
          <w:rFonts w:asciiTheme="majorEastAsia" w:eastAsiaTheme="majorEastAsia" w:hAnsiTheme="majorEastAsia" w:hint="eastAsia"/>
          <w:color w:val="000000" w:themeColor="text1"/>
          <w:sz w:val="24"/>
          <w:szCs w:val="24"/>
        </w:rPr>
        <w:t>，</w:t>
      </w:r>
      <w:r w:rsidR="005D1EAF" w:rsidRPr="005D1EAF">
        <w:rPr>
          <w:rFonts w:asciiTheme="majorEastAsia" w:eastAsiaTheme="majorEastAsia" w:hAnsiTheme="majorEastAsia" w:hint="eastAsia"/>
          <w:color w:val="000000" w:themeColor="text1"/>
          <w:sz w:val="24"/>
          <w:szCs w:val="24"/>
        </w:rPr>
        <w:t>江苏省</w:t>
      </w:r>
      <w:r w:rsidR="005D1EAF" w:rsidRPr="005D1EAF">
        <w:rPr>
          <w:rFonts w:asciiTheme="majorEastAsia" w:eastAsiaTheme="majorEastAsia" w:hAnsiTheme="majorEastAsia"/>
          <w:color w:val="000000" w:themeColor="text1"/>
          <w:sz w:val="24"/>
          <w:szCs w:val="24"/>
        </w:rPr>
        <w:t>333</w:t>
      </w:r>
      <w:r w:rsidR="005D1EAF" w:rsidRPr="005D1EAF">
        <w:rPr>
          <w:rFonts w:asciiTheme="majorEastAsia" w:eastAsiaTheme="majorEastAsia" w:hAnsiTheme="majorEastAsia" w:hint="eastAsia"/>
          <w:color w:val="000000" w:themeColor="text1"/>
          <w:sz w:val="24"/>
          <w:szCs w:val="24"/>
        </w:rPr>
        <w:t>工程（第一和第二梯队）成员</w:t>
      </w:r>
      <w:r w:rsidR="005D1EAF" w:rsidRPr="005D1EAF">
        <w:rPr>
          <w:rFonts w:asciiTheme="majorEastAsia" w:eastAsiaTheme="majorEastAsia" w:hAnsiTheme="majorEastAsia"/>
          <w:color w:val="000000" w:themeColor="text1"/>
          <w:sz w:val="24"/>
          <w:szCs w:val="24"/>
        </w:rPr>
        <w:t>3</w:t>
      </w:r>
      <w:r w:rsidR="005D1EAF" w:rsidRPr="005D1EAF">
        <w:rPr>
          <w:rFonts w:asciiTheme="majorEastAsia" w:eastAsiaTheme="majorEastAsia" w:hAnsiTheme="majorEastAsia" w:hint="eastAsia"/>
          <w:color w:val="000000" w:themeColor="text1"/>
          <w:sz w:val="24"/>
          <w:szCs w:val="24"/>
        </w:rPr>
        <w:t>名，</w:t>
      </w:r>
      <w:r w:rsidR="005B57A6" w:rsidRPr="005D1EAF">
        <w:rPr>
          <w:rFonts w:asciiTheme="majorEastAsia" w:eastAsiaTheme="majorEastAsia" w:hAnsiTheme="majorEastAsia" w:hint="eastAsia"/>
          <w:color w:val="000000" w:themeColor="text1"/>
          <w:sz w:val="24"/>
          <w:szCs w:val="24"/>
        </w:rPr>
        <w:t>并有多名国内外知名学者担任兼职教授。</w:t>
      </w:r>
    </w:p>
    <w:p w:rsidR="005B57A6" w:rsidRPr="005D1EAF" w:rsidRDefault="005B57A6" w:rsidP="00164564">
      <w:pPr>
        <w:widowControl/>
        <w:adjustRightInd w:val="0"/>
        <w:snapToGrid w:val="0"/>
        <w:spacing w:line="360" w:lineRule="auto"/>
        <w:ind w:firstLineChars="200" w:firstLine="562"/>
        <w:jc w:val="left"/>
        <w:rPr>
          <w:rFonts w:ascii="Times" w:hAnsi="Times"/>
          <w:color w:val="000000" w:themeColor="text1"/>
          <w:kern w:val="0"/>
          <w:sz w:val="20"/>
        </w:rPr>
      </w:pPr>
      <w:r w:rsidRPr="005D1EAF">
        <w:rPr>
          <w:rFonts w:ascii="宋体" w:hAnsi="宋体" w:hint="eastAsia"/>
          <w:b/>
          <w:bCs/>
          <w:color w:val="000000" w:themeColor="text1"/>
          <w:kern w:val="0"/>
          <w:sz w:val="28"/>
          <w:szCs w:val="28"/>
        </w:rPr>
        <w:t>科研水平</w:t>
      </w:r>
    </w:p>
    <w:p w:rsidR="005B57A6" w:rsidRPr="00437657" w:rsidRDefault="005D1EAF" w:rsidP="00164564">
      <w:pPr>
        <w:widowControl/>
        <w:adjustRightInd w:val="0"/>
        <w:snapToGrid w:val="0"/>
        <w:spacing w:line="360" w:lineRule="auto"/>
        <w:ind w:firstLineChars="200" w:firstLine="480"/>
        <w:jc w:val="left"/>
        <w:rPr>
          <w:rStyle w:val="style6"/>
          <w:rFonts w:ascii="宋体" w:cs="宋体"/>
          <w:kern w:val="0"/>
          <w:sz w:val="24"/>
          <w:szCs w:val="24"/>
        </w:rPr>
      </w:pPr>
      <w:r w:rsidRPr="005D1EAF">
        <w:rPr>
          <w:rStyle w:val="style6"/>
          <w:rFonts w:hAnsi="宋体"/>
          <w:kern w:val="0"/>
          <w:sz w:val="24"/>
          <w:szCs w:val="24"/>
        </w:rPr>
        <w:t>环境工程系研究方向涉及当今社会主要的环境污染问题，广泛开展水、固废、气等污染控制和资源化技术的应用基础研究、人才培养与工程实践，在有机污染物控制与资源化、废水生物处理技术、环境功能材料、流域污染控制与环境修复、固废处理处置、农村生活污水处理等领域取得了丰硕的成果。</w:t>
      </w:r>
      <w:r w:rsidRPr="005D1EAF">
        <w:rPr>
          <w:rStyle w:val="style6"/>
          <w:kern w:val="0"/>
          <w:sz w:val="24"/>
          <w:szCs w:val="24"/>
        </w:rPr>
        <w:t>2000</w:t>
      </w:r>
      <w:r w:rsidRPr="005D1EAF">
        <w:rPr>
          <w:rStyle w:val="style6"/>
          <w:rFonts w:hAnsi="宋体"/>
          <w:kern w:val="0"/>
          <w:sz w:val="24"/>
          <w:szCs w:val="24"/>
        </w:rPr>
        <w:t>年至今作为第一完成单位获国家技术发明奖、国家科技进步奖共</w:t>
      </w:r>
      <w:r w:rsidRPr="005D1EAF">
        <w:rPr>
          <w:rStyle w:val="style6"/>
          <w:kern w:val="0"/>
          <w:sz w:val="24"/>
          <w:szCs w:val="24"/>
        </w:rPr>
        <w:t>5</w:t>
      </w:r>
      <w:r w:rsidRPr="005D1EAF">
        <w:rPr>
          <w:rStyle w:val="style6"/>
          <w:rFonts w:hAnsi="宋体"/>
          <w:kern w:val="0"/>
          <w:sz w:val="24"/>
          <w:szCs w:val="24"/>
        </w:rPr>
        <w:t>次，省部级科技奖</w:t>
      </w:r>
      <w:r w:rsidRPr="005D1EAF">
        <w:rPr>
          <w:rStyle w:val="style6"/>
          <w:kern w:val="0"/>
          <w:sz w:val="24"/>
          <w:szCs w:val="24"/>
        </w:rPr>
        <w:t>10</w:t>
      </w:r>
      <w:r w:rsidRPr="005D1EAF">
        <w:rPr>
          <w:rStyle w:val="style6"/>
          <w:rFonts w:hAnsi="宋体"/>
          <w:kern w:val="0"/>
          <w:sz w:val="24"/>
          <w:szCs w:val="24"/>
        </w:rPr>
        <w:t>多次，授权国家发明专利</w:t>
      </w:r>
      <w:r w:rsidRPr="005D1EAF">
        <w:rPr>
          <w:rStyle w:val="style6"/>
          <w:kern w:val="0"/>
          <w:sz w:val="24"/>
          <w:szCs w:val="24"/>
        </w:rPr>
        <w:t>300</w:t>
      </w:r>
      <w:r w:rsidRPr="005D1EAF">
        <w:rPr>
          <w:rStyle w:val="style6"/>
          <w:rFonts w:hAnsi="宋体"/>
          <w:kern w:val="0"/>
          <w:sz w:val="24"/>
          <w:szCs w:val="24"/>
        </w:rPr>
        <w:t>多项，发表</w:t>
      </w:r>
      <w:r w:rsidRPr="005D1EAF">
        <w:rPr>
          <w:rStyle w:val="style6"/>
          <w:kern w:val="0"/>
          <w:sz w:val="24"/>
          <w:szCs w:val="24"/>
        </w:rPr>
        <w:t>SCI</w:t>
      </w:r>
      <w:r w:rsidRPr="005D1EAF">
        <w:rPr>
          <w:rStyle w:val="style6"/>
          <w:rFonts w:hAnsi="宋体"/>
          <w:kern w:val="0"/>
          <w:sz w:val="24"/>
          <w:szCs w:val="24"/>
        </w:rPr>
        <w:t>收录论文</w:t>
      </w:r>
      <w:r w:rsidRPr="005D1EAF">
        <w:rPr>
          <w:rStyle w:val="style6"/>
          <w:kern w:val="0"/>
          <w:sz w:val="24"/>
          <w:szCs w:val="24"/>
        </w:rPr>
        <w:t>600</w:t>
      </w:r>
      <w:r w:rsidRPr="005D1EAF">
        <w:rPr>
          <w:rStyle w:val="style6"/>
          <w:rFonts w:hAnsi="宋体"/>
          <w:kern w:val="0"/>
          <w:sz w:val="24"/>
          <w:szCs w:val="24"/>
        </w:rPr>
        <w:t>多篇。</w:t>
      </w:r>
      <w:r w:rsidR="00437657" w:rsidRPr="005D1EAF">
        <w:rPr>
          <w:rStyle w:val="style6"/>
          <w:rFonts w:hAnsi="宋体"/>
          <w:kern w:val="0"/>
          <w:sz w:val="24"/>
          <w:szCs w:val="24"/>
        </w:rPr>
        <w:t>现</w:t>
      </w:r>
      <w:r w:rsidR="00437657" w:rsidRPr="00437657">
        <w:rPr>
          <w:rStyle w:val="style6"/>
          <w:rFonts w:ascii="宋体" w:hAnsi="宋体" w:cs="宋体" w:hint="eastAsia"/>
          <w:kern w:val="0"/>
          <w:sz w:val="24"/>
          <w:szCs w:val="24"/>
        </w:rPr>
        <w:t>主持有国家重大水专项淮河项目、科技部“863”重大科技专项、国家自然科学重点基金、教育部科学技术重点项目、各部门地方科研项目以及大量的污染防治工程项目。</w:t>
      </w:r>
    </w:p>
    <w:p w:rsidR="007F5CC0" w:rsidRPr="00235968" w:rsidRDefault="007F5CC0"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三、招生对象</w:t>
      </w:r>
    </w:p>
    <w:p w:rsidR="005E0773" w:rsidRPr="00303678" w:rsidRDefault="005E0773" w:rsidP="00164564">
      <w:pPr>
        <w:tabs>
          <w:tab w:val="left" w:pos="525"/>
        </w:tabs>
        <w:snapToGrid w:val="0"/>
        <w:spacing w:line="360" w:lineRule="auto"/>
        <w:ind w:right="-22" w:firstLineChars="100" w:firstLine="240"/>
        <w:rPr>
          <w:rStyle w:val="style6"/>
          <w:rFonts w:ascii="宋体" w:hAnsi="宋体" w:cs="宋体"/>
          <w:kern w:val="0"/>
          <w:sz w:val="24"/>
          <w:szCs w:val="24"/>
        </w:rPr>
      </w:pPr>
      <w:bookmarkStart w:id="0" w:name="OLE_LINK1"/>
      <w:r w:rsidRPr="00303678">
        <w:rPr>
          <w:rStyle w:val="style6"/>
          <w:rFonts w:ascii="宋体" w:hAnsi="宋体" w:cs="宋体" w:hint="eastAsia"/>
          <w:kern w:val="0"/>
          <w:sz w:val="24"/>
          <w:szCs w:val="24"/>
        </w:rPr>
        <w:t>具有大学本科文凭及同等学历的应届毕业生和在职人员，参加全国硕士研究生统一考试合格，再经</w:t>
      </w:r>
      <w:r w:rsidR="001B42DF">
        <w:rPr>
          <w:rStyle w:val="style6"/>
          <w:rFonts w:ascii="宋体" w:hAnsi="宋体" w:cs="宋体" w:hint="eastAsia"/>
          <w:kern w:val="0"/>
          <w:sz w:val="24"/>
          <w:szCs w:val="24"/>
        </w:rPr>
        <w:t>复</w:t>
      </w:r>
      <w:r w:rsidRPr="00303678">
        <w:rPr>
          <w:rStyle w:val="style6"/>
          <w:rFonts w:ascii="宋体" w:hAnsi="宋体" w:cs="宋体" w:hint="eastAsia"/>
          <w:kern w:val="0"/>
          <w:sz w:val="24"/>
          <w:szCs w:val="24"/>
        </w:rPr>
        <w:t>试合格者。</w:t>
      </w:r>
      <w:r w:rsidR="00704D57">
        <w:rPr>
          <w:rStyle w:val="style6"/>
          <w:rFonts w:ascii="宋体" w:hAnsi="宋体" w:cs="宋体" w:hint="eastAsia"/>
          <w:kern w:val="0"/>
          <w:sz w:val="24"/>
          <w:szCs w:val="24"/>
        </w:rPr>
        <w:t>或</w:t>
      </w:r>
      <w:r w:rsidR="00C612FD" w:rsidRPr="00303678">
        <w:rPr>
          <w:rStyle w:val="style6"/>
          <w:rFonts w:ascii="宋体" w:hAnsi="宋体" w:cs="宋体"/>
          <w:kern w:val="0"/>
          <w:sz w:val="24"/>
          <w:szCs w:val="24"/>
        </w:rPr>
        <w:t>已获学士学位的</w:t>
      </w:r>
      <w:r w:rsidR="00C612FD" w:rsidRPr="00303678">
        <w:rPr>
          <w:rStyle w:val="style6"/>
          <w:rFonts w:ascii="宋体" w:hAnsi="宋体" w:cs="宋体" w:hint="eastAsia"/>
          <w:kern w:val="0"/>
          <w:sz w:val="24"/>
          <w:szCs w:val="24"/>
        </w:rPr>
        <w:t>优秀</w:t>
      </w:r>
      <w:r w:rsidR="00C612FD" w:rsidRPr="00303678">
        <w:rPr>
          <w:rStyle w:val="style6"/>
          <w:rFonts w:ascii="宋体" w:hAnsi="宋体" w:cs="宋体"/>
          <w:kern w:val="0"/>
          <w:sz w:val="24"/>
          <w:szCs w:val="24"/>
        </w:rPr>
        <w:t>应届本科毕业生，</w:t>
      </w:r>
      <w:r w:rsidR="00C612FD" w:rsidRPr="00303678">
        <w:rPr>
          <w:rStyle w:val="style6"/>
          <w:rFonts w:ascii="宋体" w:hAnsi="宋体" w:cs="宋体" w:hint="eastAsia"/>
          <w:kern w:val="0"/>
          <w:sz w:val="24"/>
          <w:szCs w:val="24"/>
        </w:rPr>
        <w:t>获得所在学校的推免生资格,</w:t>
      </w:r>
      <w:r w:rsidR="00C612FD" w:rsidRPr="00303678">
        <w:rPr>
          <w:rStyle w:val="style6"/>
          <w:rFonts w:ascii="宋体" w:hAnsi="宋体" w:cs="宋体"/>
          <w:kern w:val="0"/>
          <w:sz w:val="24"/>
          <w:szCs w:val="24"/>
        </w:rPr>
        <w:t>参加</w:t>
      </w:r>
      <w:r w:rsidR="00C612FD" w:rsidRPr="00303678">
        <w:rPr>
          <w:rStyle w:val="style6"/>
          <w:rFonts w:ascii="宋体" w:hAnsi="宋体" w:cs="宋体" w:hint="eastAsia"/>
          <w:kern w:val="0"/>
          <w:sz w:val="24"/>
          <w:szCs w:val="24"/>
        </w:rPr>
        <w:t>环境学院组织的推免生复</w:t>
      </w:r>
      <w:r w:rsidR="00C612FD" w:rsidRPr="00303678">
        <w:rPr>
          <w:rStyle w:val="style6"/>
          <w:rFonts w:ascii="宋体" w:hAnsi="宋体" w:cs="宋体"/>
          <w:kern w:val="0"/>
          <w:sz w:val="24"/>
          <w:szCs w:val="24"/>
        </w:rPr>
        <w:t>试</w:t>
      </w:r>
      <w:r w:rsidR="00C612FD" w:rsidRPr="00303678">
        <w:rPr>
          <w:rStyle w:val="style6"/>
          <w:rFonts w:ascii="宋体" w:hAnsi="宋体" w:cs="宋体" w:hint="eastAsia"/>
          <w:kern w:val="0"/>
          <w:sz w:val="24"/>
          <w:szCs w:val="24"/>
        </w:rPr>
        <w:t>,成绩</w:t>
      </w:r>
      <w:r w:rsidR="00C612FD" w:rsidRPr="00303678">
        <w:rPr>
          <w:rStyle w:val="style6"/>
          <w:rFonts w:ascii="宋体" w:hAnsi="宋体" w:cs="宋体"/>
          <w:kern w:val="0"/>
          <w:sz w:val="24"/>
          <w:szCs w:val="24"/>
        </w:rPr>
        <w:t>合格者</w:t>
      </w:r>
      <w:r w:rsidR="00C612FD">
        <w:rPr>
          <w:rStyle w:val="style6"/>
          <w:rFonts w:ascii="宋体" w:hAnsi="宋体" w:cs="宋体" w:hint="eastAsia"/>
          <w:kern w:val="0"/>
          <w:sz w:val="24"/>
          <w:szCs w:val="24"/>
        </w:rPr>
        <w:t>。</w:t>
      </w:r>
    </w:p>
    <w:bookmarkEnd w:id="0"/>
    <w:p w:rsidR="007F5CC0" w:rsidRPr="00235968" w:rsidRDefault="007F5CC0"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四、学习年限</w:t>
      </w:r>
    </w:p>
    <w:p w:rsidR="00B96EDD" w:rsidRPr="00B96EDD" w:rsidRDefault="00B96EDD" w:rsidP="00B96EDD">
      <w:pPr>
        <w:tabs>
          <w:tab w:val="right" w:pos="900"/>
        </w:tabs>
        <w:adjustRightInd w:val="0"/>
        <w:snapToGrid w:val="0"/>
        <w:spacing w:line="360" w:lineRule="auto"/>
        <w:ind w:right="-3060" w:firstLineChars="100" w:firstLine="240"/>
        <w:rPr>
          <w:rStyle w:val="style6"/>
          <w:sz w:val="24"/>
          <w:szCs w:val="24"/>
        </w:rPr>
      </w:pPr>
      <w:r w:rsidRPr="00B96EDD">
        <w:rPr>
          <w:rStyle w:val="style6"/>
          <w:sz w:val="24"/>
          <w:szCs w:val="24"/>
        </w:rPr>
        <w:t>一般为</w:t>
      </w:r>
      <w:r w:rsidRPr="00B96EDD">
        <w:rPr>
          <w:rStyle w:val="style6"/>
          <w:rFonts w:hint="eastAsia"/>
          <w:sz w:val="24"/>
          <w:szCs w:val="24"/>
        </w:rPr>
        <w:t>三年</w:t>
      </w:r>
      <w:r w:rsidRPr="00B96EDD">
        <w:rPr>
          <w:rStyle w:val="style6"/>
          <w:sz w:val="24"/>
          <w:szCs w:val="24"/>
        </w:rPr>
        <w:t>，其中课程学习一年，</w:t>
      </w:r>
      <w:r w:rsidRPr="00B96EDD">
        <w:rPr>
          <w:rStyle w:val="style6"/>
          <w:rFonts w:ascii="宋体" w:hAnsi="宋体" w:cs="宋体" w:hint="eastAsia"/>
          <w:sz w:val="24"/>
          <w:szCs w:val="24"/>
        </w:rPr>
        <w:t>实践基地</w:t>
      </w:r>
      <w:r w:rsidRPr="00B96EDD">
        <w:rPr>
          <w:rStyle w:val="style6"/>
          <w:rFonts w:hint="eastAsia"/>
          <w:sz w:val="24"/>
          <w:szCs w:val="24"/>
        </w:rPr>
        <w:t>实习半年，</w:t>
      </w:r>
      <w:r w:rsidRPr="00B96EDD">
        <w:rPr>
          <w:rStyle w:val="style6"/>
          <w:sz w:val="24"/>
          <w:szCs w:val="24"/>
        </w:rPr>
        <w:t>论文工作</w:t>
      </w:r>
      <w:r w:rsidRPr="00B96EDD">
        <w:rPr>
          <w:rStyle w:val="style6"/>
          <w:rFonts w:hint="eastAsia"/>
          <w:sz w:val="24"/>
          <w:szCs w:val="24"/>
        </w:rPr>
        <w:t>一年半</w:t>
      </w:r>
      <w:r w:rsidRPr="00B96EDD">
        <w:rPr>
          <w:rStyle w:val="style6"/>
          <w:sz w:val="24"/>
          <w:szCs w:val="24"/>
        </w:rPr>
        <w:t>。</w:t>
      </w:r>
    </w:p>
    <w:p w:rsidR="007F5CC0" w:rsidRPr="00235968" w:rsidRDefault="007F5CC0" w:rsidP="00164564">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b/>
          <w:sz w:val="30"/>
        </w:rPr>
        <w:t>五、课程设置</w:t>
      </w:r>
    </w:p>
    <w:p w:rsidR="005A3AE7" w:rsidRPr="00810A22" w:rsidRDefault="007F5CC0" w:rsidP="005A3AE7">
      <w:pPr>
        <w:tabs>
          <w:tab w:val="left" w:pos="525"/>
          <w:tab w:val="right" w:pos="900"/>
          <w:tab w:val="left" w:pos="1080"/>
        </w:tabs>
        <w:snapToGrid w:val="0"/>
        <w:spacing w:line="360" w:lineRule="auto"/>
        <w:ind w:left="456" w:right="-3420" w:hanging="456"/>
        <w:rPr>
          <w:rFonts w:eastAsiaTheme="minorEastAsia" w:hAnsiTheme="minorEastAsia"/>
          <w:sz w:val="24"/>
        </w:rPr>
      </w:pPr>
      <w:bookmarkStart w:id="1" w:name="OLE_LINK10"/>
      <w:bookmarkStart w:id="2" w:name="OLE_LINK3"/>
      <w:r w:rsidRPr="007F5CC0">
        <w:rPr>
          <w:rFonts w:eastAsiaTheme="minorEastAsia"/>
        </w:rPr>
        <w:tab/>
      </w:r>
      <w:bookmarkEnd w:id="1"/>
      <w:bookmarkEnd w:id="2"/>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1512"/>
        <w:gridCol w:w="1701"/>
        <w:gridCol w:w="850"/>
        <w:gridCol w:w="1749"/>
      </w:tblGrid>
      <w:tr w:rsidR="005A3AE7" w:rsidRPr="00BA14A9" w:rsidTr="00511E16">
        <w:trPr>
          <w:trHeight w:val="340"/>
        </w:trPr>
        <w:tc>
          <w:tcPr>
            <w:tcW w:w="675" w:type="dxa"/>
            <w:shd w:val="clear" w:color="auto" w:fill="auto"/>
            <w:vAlign w:val="center"/>
          </w:tcPr>
          <w:p w:rsidR="005A3AE7" w:rsidRPr="00BA14A9" w:rsidRDefault="005A3AE7" w:rsidP="00511E16">
            <w:pPr>
              <w:widowControl/>
              <w:snapToGrid w:val="0"/>
              <w:ind w:leftChars="-50" w:left="-105" w:rightChars="-50" w:right="-105"/>
              <w:jc w:val="center"/>
              <w:rPr>
                <w:kern w:val="0"/>
                <w:szCs w:val="21"/>
              </w:rPr>
            </w:pPr>
            <w:r w:rsidRPr="00BA14A9">
              <w:rPr>
                <w:rFonts w:eastAsiaTheme="minorEastAsia"/>
              </w:rPr>
              <w:tab/>
            </w:r>
            <w:r w:rsidRPr="00BA14A9">
              <w:rPr>
                <w:rFonts w:hAnsi="宋体"/>
                <w:kern w:val="0"/>
                <w:szCs w:val="21"/>
              </w:rPr>
              <w:t>课程类型</w:t>
            </w:r>
          </w:p>
        </w:tc>
        <w:tc>
          <w:tcPr>
            <w:tcW w:w="2410" w:type="dxa"/>
            <w:shd w:val="clear" w:color="auto" w:fill="auto"/>
            <w:vAlign w:val="center"/>
          </w:tcPr>
          <w:p w:rsidR="005A3AE7" w:rsidRPr="00BA14A9" w:rsidRDefault="005A3AE7" w:rsidP="00511E16">
            <w:pPr>
              <w:widowControl/>
              <w:snapToGrid w:val="0"/>
              <w:jc w:val="center"/>
              <w:rPr>
                <w:kern w:val="0"/>
                <w:szCs w:val="21"/>
              </w:rPr>
            </w:pPr>
            <w:r w:rsidRPr="00BA14A9">
              <w:rPr>
                <w:rFonts w:hAnsi="宋体"/>
                <w:kern w:val="0"/>
                <w:szCs w:val="21"/>
              </w:rPr>
              <w:t>课程名称</w:t>
            </w:r>
          </w:p>
        </w:tc>
        <w:tc>
          <w:tcPr>
            <w:tcW w:w="1512" w:type="dxa"/>
            <w:shd w:val="clear" w:color="auto" w:fill="auto"/>
            <w:vAlign w:val="center"/>
          </w:tcPr>
          <w:p w:rsidR="005A3AE7" w:rsidRPr="00BA14A9" w:rsidRDefault="005A3AE7" w:rsidP="00511E16">
            <w:pPr>
              <w:widowControl/>
              <w:snapToGrid w:val="0"/>
              <w:jc w:val="center"/>
              <w:rPr>
                <w:kern w:val="0"/>
                <w:szCs w:val="21"/>
              </w:rPr>
            </w:pPr>
            <w:r w:rsidRPr="00BA14A9">
              <w:rPr>
                <w:rFonts w:hAnsi="宋体"/>
                <w:kern w:val="0"/>
                <w:szCs w:val="21"/>
              </w:rPr>
              <w:t>编号</w:t>
            </w:r>
          </w:p>
        </w:tc>
        <w:tc>
          <w:tcPr>
            <w:tcW w:w="1701" w:type="dxa"/>
            <w:shd w:val="clear" w:color="auto" w:fill="auto"/>
            <w:vAlign w:val="center"/>
          </w:tcPr>
          <w:p w:rsidR="005A3AE7" w:rsidRPr="00BA14A9" w:rsidRDefault="005A3AE7" w:rsidP="00511E16">
            <w:pPr>
              <w:widowControl/>
              <w:snapToGrid w:val="0"/>
              <w:jc w:val="center"/>
              <w:rPr>
                <w:kern w:val="0"/>
                <w:szCs w:val="21"/>
              </w:rPr>
            </w:pPr>
            <w:r w:rsidRPr="00BA14A9">
              <w:rPr>
                <w:rFonts w:hAnsi="宋体"/>
                <w:kern w:val="0"/>
                <w:szCs w:val="21"/>
              </w:rPr>
              <w:t>授课教师或团队</w:t>
            </w:r>
          </w:p>
        </w:tc>
        <w:tc>
          <w:tcPr>
            <w:tcW w:w="850" w:type="dxa"/>
            <w:shd w:val="clear" w:color="auto" w:fill="auto"/>
            <w:vAlign w:val="center"/>
          </w:tcPr>
          <w:p w:rsidR="005A3AE7" w:rsidRPr="00BA14A9" w:rsidRDefault="005A3AE7" w:rsidP="00511E16">
            <w:pPr>
              <w:widowControl/>
              <w:snapToGrid w:val="0"/>
              <w:jc w:val="center"/>
              <w:rPr>
                <w:kern w:val="0"/>
                <w:szCs w:val="21"/>
              </w:rPr>
            </w:pPr>
            <w:r w:rsidRPr="00BA14A9">
              <w:rPr>
                <w:rFonts w:hAnsi="宋体"/>
                <w:kern w:val="0"/>
                <w:szCs w:val="21"/>
              </w:rPr>
              <w:t>学分</w:t>
            </w:r>
          </w:p>
        </w:tc>
        <w:tc>
          <w:tcPr>
            <w:tcW w:w="1749" w:type="dxa"/>
            <w:shd w:val="clear" w:color="auto" w:fill="auto"/>
            <w:vAlign w:val="center"/>
          </w:tcPr>
          <w:p w:rsidR="005A3AE7" w:rsidRPr="00BA14A9" w:rsidRDefault="005A3AE7" w:rsidP="00511E16">
            <w:pPr>
              <w:widowControl/>
              <w:snapToGrid w:val="0"/>
              <w:jc w:val="center"/>
              <w:rPr>
                <w:kern w:val="0"/>
                <w:szCs w:val="21"/>
              </w:rPr>
            </w:pPr>
            <w:r w:rsidRPr="00BA14A9">
              <w:rPr>
                <w:rFonts w:hAnsi="宋体"/>
                <w:kern w:val="0"/>
                <w:szCs w:val="21"/>
              </w:rPr>
              <w:t>课程类别</w:t>
            </w:r>
          </w:p>
        </w:tc>
      </w:tr>
      <w:tr w:rsidR="005A3AE7" w:rsidRPr="00BA14A9" w:rsidTr="00511E16">
        <w:trPr>
          <w:trHeight w:val="340"/>
        </w:trPr>
        <w:tc>
          <w:tcPr>
            <w:tcW w:w="675" w:type="dxa"/>
            <w:vMerge w:val="restart"/>
            <w:shd w:val="clear" w:color="auto" w:fill="auto"/>
            <w:vAlign w:val="center"/>
          </w:tcPr>
          <w:p w:rsidR="005A3AE7" w:rsidRPr="00BA14A9" w:rsidRDefault="005A3AE7" w:rsidP="00511E16">
            <w:pPr>
              <w:widowControl/>
              <w:snapToGrid w:val="0"/>
              <w:jc w:val="center"/>
              <w:rPr>
                <w:kern w:val="0"/>
                <w:szCs w:val="21"/>
              </w:rPr>
            </w:pPr>
            <w:r w:rsidRPr="00BA14A9">
              <w:rPr>
                <w:kern w:val="0"/>
                <w:szCs w:val="21"/>
              </w:rPr>
              <w:t>A</w:t>
            </w:r>
          </w:p>
        </w:tc>
        <w:tc>
          <w:tcPr>
            <w:tcW w:w="2410" w:type="dxa"/>
            <w:shd w:val="clear" w:color="auto" w:fill="auto"/>
            <w:vAlign w:val="center"/>
          </w:tcPr>
          <w:p w:rsidR="005A3AE7" w:rsidRPr="00BA14A9" w:rsidRDefault="005A3AE7" w:rsidP="00511E16">
            <w:pPr>
              <w:widowControl/>
              <w:snapToGrid w:val="0"/>
              <w:ind w:leftChars="-50" w:left="-105" w:rightChars="-50" w:right="-105"/>
              <w:jc w:val="center"/>
              <w:rPr>
                <w:szCs w:val="21"/>
              </w:rPr>
            </w:pPr>
            <w:r w:rsidRPr="00BA14A9">
              <w:rPr>
                <w:szCs w:val="21"/>
              </w:rPr>
              <w:t>科学社会主义理论与实践</w:t>
            </w:r>
          </w:p>
        </w:tc>
        <w:tc>
          <w:tcPr>
            <w:tcW w:w="1512" w:type="dxa"/>
            <w:shd w:val="clear" w:color="auto" w:fill="auto"/>
            <w:vAlign w:val="center"/>
          </w:tcPr>
          <w:p w:rsidR="005A3AE7" w:rsidRPr="00BA14A9" w:rsidRDefault="005A3AE7" w:rsidP="00511E16">
            <w:pPr>
              <w:widowControl/>
              <w:snapToGrid w:val="0"/>
              <w:jc w:val="center"/>
              <w:rPr>
                <w:szCs w:val="21"/>
              </w:rPr>
            </w:pPr>
          </w:p>
        </w:tc>
        <w:tc>
          <w:tcPr>
            <w:tcW w:w="1701" w:type="dxa"/>
            <w:shd w:val="clear" w:color="auto" w:fill="auto"/>
            <w:vAlign w:val="center"/>
          </w:tcPr>
          <w:p w:rsidR="005A3AE7" w:rsidRPr="00BA14A9" w:rsidRDefault="005A3AE7" w:rsidP="00511E16">
            <w:pPr>
              <w:widowControl/>
              <w:snapToGrid w:val="0"/>
              <w:jc w:val="center"/>
              <w:rPr>
                <w:szCs w:val="21"/>
              </w:rPr>
            </w:pPr>
          </w:p>
        </w:tc>
        <w:tc>
          <w:tcPr>
            <w:tcW w:w="850" w:type="dxa"/>
            <w:shd w:val="clear" w:color="auto" w:fill="auto"/>
            <w:vAlign w:val="center"/>
          </w:tcPr>
          <w:p w:rsidR="005A3AE7" w:rsidRPr="00BA14A9" w:rsidRDefault="005A3AE7" w:rsidP="00511E16">
            <w:pPr>
              <w:widowControl/>
              <w:snapToGrid w:val="0"/>
              <w:jc w:val="center"/>
              <w:rPr>
                <w:szCs w:val="21"/>
              </w:rPr>
            </w:pPr>
            <w:r w:rsidRPr="00BA14A9">
              <w:rPr>
                <w:szCs w:val="21"/>
              </w:rPr>
              <w:t>2</w:t>
            </w:r>
          </w:p>
        </w:tc>
        <w:tc>
          <w:tcPr>
            <w:tcW w:w="1749" w:type="dxa"/>
            <w:shd w:val="clear" w:color="auto" w:fill="auto"/>
            <w:vAlign w:val="center"/>
          </w:tcPr>
          <w:p w:rsidR="005A3AE7" w:rsidRPr="00BA14A9" w:rsidRDefault="005A3AE7" w:rsidP="00511E16">
            <w:pPr>
              <w:widowControl/>
              <w:snapToGrid w:val="0"/>
              <w:jc w:val="center"/>
              <w:rPr>
                <w:kern w:val="0"/>
                <w:szCs w:val="21"/>
              </w:rPr>
            </w:pP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widowControl/>
              <w:snapToGrid w:val="0"/>
              <w:ind w:leftChars="-50" w:left="-105" w:rightChars="-50" w:right="-105"/>
              <w:jc w:val="center"/>
              <w:rPr>
                <w:szCs w:val="21"/>
              </w:rPr>
            </w:pPr>
            <w:r w:rsidRPr="00BA14A9">
              <w:rPr>
                <w:szCs w:val="21"/>
              </w:rPr>
              <w:t>自然辩证法</w:t>
            </w:r>
          </w:p>
        </w:tc>
        <w:tc>
          <w:tcPr>
            <w:tcW w:w="1512" w:type="dxa"/>
            <w:shd w:val="clear" w:color="auto" w:fill="auto"/>
            <w:vAlign w:val="center"/>
          </w:tcPr>
          <w:p w:rsidR="005A3AE7" w:rsidRPr="00BA14A9" w:rsidRDefault="005A3AE7" w:rsidP="00511E16">
            <w:pPr>
              <w:widowControl/>
              <w:snapToGrid w:val="0"/>
              <w:jc w:val="center"/>
              <w:rPr>
                <w:szCs w:val="21"/>
              </w:rPr>
            </w:pPr>
          </w:p>
        </w:tc>
        <w:tc>
          <w:tcPr>
            <w:tcW w:w="1701" w:type="dxa"/>
            <w:shd w:val="clear" w:color="auto" w:fill="auto"/>
            <w:vAlign w:val="center"/>
          </w:tcPr>
          <w:p w:rsidR="005A3AE7" w:rsidRPr="00BA14A9" w:rsidRDefault="005A3AE7" w:rsidP="00511E16">
            <w:pPr>
              <w:widowControl/>
              <w:snapToGrid w:val="0"/>
              <w:jc w:val="center"/>
              <w:rPr>
                <w:szCs w:val="21"/>
              </w:rPr>
            </w:pPr>
          </w:p>
        </w:tc>
        <w:tc>
          <w:tcPr>
            <w:tcW w:w="850" w:type="dxa"/>
            <w:shd w:val="clear" w:color="auto" w:fill="auto"/>
            <w:vAlign w:val="center"/>
          </w:tcPr>
          <w:p w:rsidR="005A3AE7" w:rsidRPr="00BA14A9" w:rsidRDefault="005A3AE7" w:rsidP="00511E16">
            <w:pPr>
              <w:widowControl/>
              <w:snapToGrid w:val="0"/>
              <w:jc w:val="center"/>
              <w:rPr>
                <w:szCs w:val="21"/>
              </w:rPr>
            </w:pPr>
            <w:r w:rsidRPr="00BA14A9">
              <w:rPr>
                <w:szCs w:val="21"/>
              </w:rPr>
              <w:t>1</w:t>
            </w:r>
          </w:p>
        </w:tc>
        <w:tc>
          <w:tcPr>
            <w:tcW w:w="1749" w:type="dxa"/>
            <w:shd w:val="clear" w:color="auto" w:fill="auto"/>
            <w:vAlign w:val="center"/>
          </w:tcPr>
          <w:p w:rsidR="005A3AE7" w:rsidRPr="00BA14A9" w:rsidRDefault="005A3AE7" w:rsidP="00511E16">
            <w:pPr>
              <w:widowControl/>
              <w:snapToGrid w:val="0"/>
              <w:jc w:val="center"/>
              <w:rPr>
                <w:kern w:val="0"/>
                <w:szCs w:val="21"/>
              </w:rPr>
            </w:pP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widowControl/>
              <w:snapToGrid w:val="0"/>
              <w:ind w:leftChars="-50" w:left="-105" w:rightChars="-50" w:right="-105"/>
              <w:jc w:val="center"/>
              <w:rPr>
                <w:szCs w:val="21"/>
              </w:rPr>
            </w:pPr>
            <w:r w:rsidRPr="00BA14A9">
              <w:rPr>
                <w:szCs w:val="21"/>
              </w:rPr>
              <w:t>硕士英语</w:t>
            </w:r>
          </w:p>
        </w:tc>
        <w:tc>
          <w:tcPr>
            <w:tcW w:w="1512" w:type="dxa"/>
            <w:shd w:val="clear" w:color="auto" w:fill="auto"/>
            <w:vAlign w:val="center"/>
          </w:tcPr>
          <w:p w:rsidR="005A3AE7" w:rsidRPr="00BA14A9" w:rsidRDefault="005A3AE7" w:rsidP="00511E16">
            <w:pPr>
              <w:widowControl/>
              <w:snapToGrid w:val="0"/>
              <w:jc w:val="center"/>
              <w:rPr>
                <w:szCs w:val="21"/>
              </w:rPr>
            </w:pPr>
          </w:p>
        </w:tc>
        <w:tc>
          <w:tcPr>
            <w:tcW w:w="1701" w:type="dxa"/>
            <w:shd w:val="clear" w:color="auto" w:fill="auto"/>
            <w:vAlign w:val="center"/>
          </w:tcPr>
          <w:p w:rsidR="005A3AE7" w:rsidRPr="00BA14A9" w:rsidRDefault="005A3AE7" w:rsidP="00511E16">
            <w:pPr>
              <w:widowControl/>
              <w:snapToGrid w:val="0"/>
              <w:jc w:val="center"/>
              <w:rPr>
                <w:szCs w:val="21"/>
              </w:rPr>
            </w:pPr>
          </w:p>
        </w:tc>
        <w:tc>
          <w:tcPr>
            <w:tcW w:w="850" w:type="dxa"/>
            <w:shd w:val="clear" w:color="auto" w:fill="auto"/>
            <w:vAlign w:val="center"/>
          </w:tcPr>
          <w:p w:rsidR="005A3AE7" w:rsidRPr="00BA14A9" w:rsidRDefault="005A3AE7" w:rsidP="00511E16">
            <w:pPr>
              <w:widowControl/>
              <w:snapToGrid w:val="0"/>
              <w:jc w:val="center"/>
              <w:rPr>
                <w:szCs w:val="21"/>
              </w:rPr>
            </w:pPr>
            <w:r w:rsidRPr="00BA14A9">
              <w:rPr>
                <w:szCs w:val="21"/>
              </w:rPr>
              <w:t>4</w:t>
            </w:r>
          </w:p>
        </w:tc>
        <w:tc>
          <w:tcPr>
            <w:tcW w:w="1749" w:type="dxa"/>
            <w:shd w:val="clear" w:color="auto" w:fill="auto"/>
            <w:vAlign w:val="center"/>
          </w:tcPr>
          <w:p w:rsidR="005A3AE7" w:rsidRPr="00BA14A9" w:rsidRDefault="005A3AE7" w:rsidP="00511E16">
            <w:pPr>
              <w:widowControl/>
              <w:snapToGrid w:val="0"/>
              <w:jc w:val="center"/>
              <w:rPr>
                <w:kern w:val="0"/>
                <w:szCs w:val="21"/>
              </w:rPr>
            </w:pPr>
          </w:p>
        </w:tc>
      </w:tr>
      <w:tr w:rsidR="005A3AE7" w:rsidRPr="00BA14A9" w:rsidTr="00511E16">
        <w:trPr>
          <w:trHeight w:val="340"/>
        </w:trPr>
        <w:tc>
          <w:tcPr>
            <w:tcW w:w="675" w:type="dxa"/>
            <w:vMerge w:val="restart"/>
            <w:shd w:val="clear" w:color="auto" w:fill="auto"/>
            <w:vAlign w:val="center"/>
          </w:tcPr>
          <w:p w:rsidR="005A3AE7" w:rsidRPr="00BA14A9" w:rsidRDefault="005A3AE7" w:rsidP="00511E16">
            <w:pPr>
              <w:snapToGrid w:val="0"/>
              <w:jc w:val="center"/>
              <w:rPr>
                <w:kern w:val="0"/>
                <w:szCs w:val="21"/>
              </w:rPr>
            </w:pPr>
            <w:r w:rsidRPr="00BA14A9">
              <w:rPr>
                <w:kern w:val="0"/>
                <w:szCs w:val="21"/>
              </w:rPr>
              <w:t>B</w:t>
            </w:r>
          </w:p>
        </w:tc>
        <w:tc>
          <w:tcPr>
            <w:tcW w:w="2410" w:type="dxa"/>
            <w:shd w:val="clear" w:color="auto" w:fill="auto"/>
            <w:vAlign w:val="center"/>
          </w:tcPr>
          <w:p w:rsidR="005A3AE7" w:rsidRPr="00BA14A9" w:rsidRDefault="005A3AE7" w:rsidP="00511E16">
            <w:pPr>
              <w:snapToGrid w:val="0"/>
              <w:ind w:leftChars="-50" w:left="-105" w:rightChars="-50" w:right="-105"/>
              <w:jc w:val="center"/>
              <w:rPr>
                <w:szCs w:val="21"/>
              </w:rPr>
            </w:pPr>
            <w:r w:rsidRPr="00BA14A9">
              <w:rPr>
                <w:szCs w:val="21"/>
              </w:rPr>
              <w:t>环境科学与工程前沿</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083000B03</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rFonts w:hAnsi="宋体"/>
                <w:color w:val="000000"/>
                <w:szCs w:val="21"/>
              </w:rPr>
              <w:t>外聘专家</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方法实践类课程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ind w:leftChars="-50" w:left="-105" w:rightChars="-50" w:right="-105"/>
              <w:jc w:val="center"/>
              <w:rPr>
                <w:szCs w:val="21"/>
              </w:rPr>
            </w:pPr>
            <w:r w:rsidRPr="00BA14A9">
              <w:rPr>
                <w:szCs w:val="21"/>
              </w:rPr>
              <w:t>现代仪器分析技术与实验</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083000B04</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孙成、冯建舫</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专业核心课程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ind w:leftChars="-50" w:left="-105" w:rightChars="-50" w:right="-105"/>
              <w:jc w:val="center"/>
              <w:rPr>
                <w:color w:val="000000"/>
                <w:szCs w:val="21"/>
              </w:rPr>
            </w:pPr>
            <w:r w:rsidRPr="00BA14A9">
              <w:rPr>
                <w:color w:val="000000"/>
                <w:szCs w:val="21"/>
              </w:rPr>
              <w:t>环境科学统计与建模方法</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083000B05</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王遵尧</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方法实践类课程</w:t>
            </w:r>
          </w:p>
        </w:tc>
      </w:tr>
      <w:tr w:rsidR="005A3AE7" w:rsidRPr="00BA14A9" w:rsidTr="00511E16">
        <w:trPr>
          <w:trHeight w:val="340"/>
        </w:trPr>
        <w:tc>
          <w:tcPr>
            <w:tcW w:w="675" w:type="dxa"/>
            <w:vMerge w:val="restart"/>
            <w:shd w:val="clear" w:color="auto" w:fill="auto"/>
            <w:vAlign w:val="center"/>
          </w:tcPr>
          <w:p w:rsidR="005A3AE7" w:rsidRPr="00BA14A9" w:rsidRDefault="005A3AE7" w:rsidP="00511E16">
            <w:pPr>
              <w:widowControl/>
              <w:snapToGrid w:val="0"/>
              <w:jc w:val="center"/>
              <w:rPr>
                <w:kern w:val="0"/>
                <w:szCs w:val="21"/>
              </w:rPr>
            </w:pPr>
            <w:r w:rsidRPr="00BA14A9">
              <w:rPr>
                <w:kern w:val="0"/>
                <w:szCs w:val="21"/>
              </w:rPr>
              <w:t>C</w:t>
            </w:r>
          </w:p>
        </w:tc>
        <w:tc>
          <w:tcPr>
            <w:tcW w:w="2410" w:type="dxa"/>
            <w:shd w:val="clear" w:color="auto" w:fill="auto"/>
            <w:vAlign w:val="center"/>
          </w:tcPr>
          <w:p w:rsidR="005A3AE7" w:rsidRPr="00BA14A9" w:rsidRDefault="005A3AE7" w:rsidP="00511E16">
            <w:pPr>
              <w:snapToGrid w:val="0"/>
              <w:ind w:leftChars="-50" w:left="-105" w:rightChars="-50" w:right="-105"/>
              <w:jc w:val="center"/>
              <w:rPr>
                <w:color w:val="000000"/>
                <w:szCs w:val="21"/>
              </w:rPr>
            </w:pPr>
            <w:r w:rsidRPr="00BA14A9">
              <w:rPr>
                <w:color w:val="000000"/>
                <w:szCs w:val="21"/>
              </w:rPr>
              <w:t>新型工业分离技术</w:t>
            </w:r>
            <w:r w:rsidRPr="00BA14A9">
              <w:rPr>
                <w:color w:val="000000"/>
                <w:szCs w:val="21"/>
              </w:rPr>
              <w:t xml:space="preserve"> </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083002C02</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李爱民</w:t>
            </w:r>
            <w:r w:rsidRPr="00BA14A9">
              <w:rPr>
                <w:color w:val="000000"/>
                <w:szCs w:val="21"/>
              </w:rPr>
              <w:t xml:space="preserve"> </w:t>
            </w:r>
            <w:r w:rsidRPr="00BA14A9">
              <w:rPr>
                <w:color w:val="000000"/>
                <w:szCs w:val="21"/>
              </w:rPr>
              <w:t>龙超</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专业核心课程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ind w:leftChars="-50" w:left="-105" w:rightChars="-50" w:right="-105"/>
              <w:jc w:val="center"/>
              <w:rPr>
                <w:color w:val="000000"/>
                <w:szCs w:val="21"/>
              </w:rPr>
            </w:pPr>
            <w:r w:rsidRPr="00BA14A9">
              <w:rPr>
                <w:color w:val="000000"/>
                <w:szCs w:val="21"/>
              </w:rPr>
              <w:t>当代给水与废水处理原理</w:t>
            </w:r>
            <w:r w:rsidRPr="00BA14A9">
              <w:rPr>
                <w:color w:val="000000"/>
                <w:szCs w:val="21"/>
              </w:rPr>
              <w:t xml:space="preserve"> </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083002C04</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任洪强、许柯</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专业核心课程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科技文献阅读与科技论文写作</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083002C08</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任洪强（张宴）</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1</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方法实践类课程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Aquatic Redox Chemistry</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083002C09</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潘丙才、张淑娟</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1</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方法实践类课程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312F7E">
            <w:pPr>
              <w:snapToGrid w:val="0"/>
              <w:jc w:val="center"/>
              <w:rPr>
                <w:color w:val="000000"/>
                <w:szCs w:val="21"/>
              </w:rPr>
            </w:pPr>
            <w:r w:rsidRPr="00BA14A9">
              <w:rPr>
                <w:color w:val="000000"/>
                <w:szCs w:val="21"/>
              </w:rPr>
              <w:t>环境工程中的物理化学</w:t>
            </w:r>
          </w:p>
        </w:tc>
        <w:tc>
          <w:tcPr>
            <w:tcW w:w="1512" w:type="dxa"/>
            <w:shd w:val="clear" w:color="auto" w:fill="auto"/>
            <w:vAlign w:val="center"/>
          </w:tcPr>
          <w:p w:rsidR="005A3AE7" w:rsidRPr="00BA14A9" w:rsidRDefault="005A3AE7" w:rsidP="00312F7E">
            <w:pPr>
              <w:snapToGrid w:val="0"/>
              <w:jc w:val="center"/>
              <w:rPr>
                <w:color w:val="000000"/>
                <w:szCs w:val="21"/>
              </w:rPr>
            </w:pPr>
            <w:r w:rsidRPr="00BA14A9">
              <w:rPr>
                <w:color w:val="000000"/>
                <w:szCs w:val="21"/>
              </w:rPr>
              <w:t>083002C10</w:t>
            </w:r>
          </w:p>
        </w:tc>
        <w:tc>
          <w:tcPr>
            <w:tcW w:w="1701" w:type="dxa"/>
            <w:shd w:val="clear" w:color="auto" w:fill="auto"/>
            <w:vAlign w:val="center"/>
          </w:tcPr>
          <w:p w:rsidR="005A3AE7" w:rsidRPr="00BA14A9" w:rsidRDefault="005A3AE7" w:rsidP="00312F7E">
            <w:pPr>
              <w:snapToGrid w:val="0"/>
              <w:jc w:val="center"/>
              <w:rPr>
                <w:color w:val="000000"/>
                <w:szCs w:val="21"/>
              </w:rPr>
            </w:pPr>
            <w:r w:rsidRPr="00BA14A9">
              <w:rPr>
                <w:color w:val="000000"/>
                <w:szCs w:val="21"/>
              </w:rPr>
              <w:t>张炜铭、潘丙才</w:t>
            </w:r>
          </w:p>
        </w:tc>
        <w:tc>
          <w:tcPr>
            <w:tcW w:w="850" w:type="dxa"/>
            <w:shd w:val="clear" w:color="auto" w:fill="auto"/>
            <w:vAlign w:val="center"/>
          </w:tcPr>
          <w:p w:rsidR="005A3AE7" w:rsidRPr="00BA14A9" w:rsidRDefault="005A3AE7" w:rsidP="00312F7E">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312F7E">
            <w:pPr>
              <w:snapToGrid w:val="0"/>
              <w:jc w:val="center"/>
              <w:rPr>
                <w:color w:val="000000"/>
                <w:szCs w:val="21"/>
              </w:rPr>
            </w:pPr>
            <w:r w:rsidRPr="00BA14A9">
              <w:rPr>
                <w:rFonts w:hAnsi="宋体"/>
                <w:kern w:val="0"/>
                <w:szCs w:val="21"/>
              </w:rPr>
              <w:t>专业核心课程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205C3F" w:rsidRDefault="005A3AE7" w:rsidP="00511E16">
            <w:pPr>
              <w:snapToGrid w:val="0"/>
              <w:jc w:val="center"/>
              <w:rPr>
                <w:color w:val="000000"/>
                <w:szCs w:val="21"/>
              </w:rPr>
            </w:pPr>
            <w:r w:rsidRPr="009C3D03">
              <w:rPr>
                <w:rFonts w:hint="eastAsia"/>
                <w:color w:val="000000"/>
                <w:szCs w:val="21"/>
              </w:rPr>
              <w:t>工程制图学</w:t>
            </w:r>
          </w:p>
        </w:tc>
        <w:tc>
          <w:tcPr>
            <w:tcW w:w="1512" w:type="dxa"/>
            <w:shd w:val="clear" w:color="auto" w:fill="auto"/>
            <w:vAlign w:val="center"/>
          </w:tcPr>
          <w:p w:rsidR="005A3AE7" w:rsidRPr="00205C3F" w:rsidRDefault="005A3AE7" w:rsidP="00511E16">
            <w:pPr>
              <w:snapToGrid w:val="0"/>
              <w:jc w:val="center"/>
              <w:rPr>
                <w:rFonts w:ascii="宋体" w:hAnsi="宋体" w:cs="宋体"/>
                <w:color w:val="000000"/>
                <w:szCs w:val="21"/>
              </w:rPr>
            </w:pPr>
            <w:r w:rsidRPr="009C3D03">
              <w:rPr>
                <w:rFonts w:ascii="宋体" w:hAnsi="宋体" w:cs="宋体"/>
                <w:color w:val="000000"/>
                <w:szCs w:val="21"/>
              </w:rPr>
              <w:t>083000C01</w:t>
            </w:r>
          </w:p>
        </w:tc>
        <w:tc>
          <w:tcPr>
            <w:tcW w:w="1701" w:type="dxa"/>
            <w:shd w:val="clear" w:color="auto" w:fill="auto"/>
            <w:vAlign w:val="center"/>
          </w:tcPr>
          <w:p w:rsidR="005A3AE7" w:rsidRPr="00205C3F" w:rsidRDefault="005A3AE7" w:rsidP="00511E16">
            <w:pPr>
              <w:snapToGrid w:val="0"/>
              <w:jc w:val="center"/>
              <w:rPr>
                <w:color w:val="000000"/>
                <w:szCs w:val="21"/>
              </w:rPr>
            </w:pPr>
          </w:p>
        </w:tc>
        <w:tc>
          <w:tcPr>
            <w:tcW w:w="850" w:type="dxa"/>
            <w:shd w:val="clear" w:color="auto" w:fill="auto"/>
            <w:vAlign w:val="center"/>
          </w:tcPr>
          <w:p w:rsidR="005A3AE7" w:rsidRPr="00205C3F" w:rsidRDefault="005A3AE7" w:rsidP="00511E16">
            <w:pPr>
              <w:snapToGrid w:val="0"/>
              <w:jc w:val="center"/>
              <w:rPr>
                <w:rFonts w:ascii="宋体" w:hAnsi="宋体" w:cs="宋体"/>
                <w:color w:val="000000"/>
                <w:szCs w:val="21"/>
              </w:rPr>
            </w:pPr>
            <w:r>
              <w:rPr>
                <w:rFonts w:ascii="宋体" w:hAnsi="宋体" w:cs="宋体" w:hint="eastAsia"/>
                <w:color w:val="000000"/>
                <w:szCs w:val="21"/>
              </w:rPr>
              <w:t>2</w:t>
            </w:r>
          </w:p>
        </w:tc>
        <w:tc>
          <w:tcPr>
            <w:tcW w:w="1749" w:type="dxa"/>
            <w:shd w:val="clear" w:color="auto" w:fill="auto"/>
            <w:vAlign w:val="center"/>
          </w:tcPr>
          <w:p w:rsidR="005A3AE7" w:rsidRPr="00205C3F" w:rsidRDefault="005A3AE7" w:rsidP="00511E16">
            <w:pPr>
              <w:snapToGrid w:val="0"/>
              <w:jc w:val="center"/>
              <w:rPr>
                <w:rFonts w:ascii="宋体" w:hAnsi="宋体" w:cs="宋体"/>
                <w:kern w:val="0"/>
                <w:szCs w:val="21"/>
              </w:rPr>
            </w:pPr>
            <w:r w:rsidRPr="0004176B">
              <w:rPr>
                <w:rFonts w:eastAsiaTheme="majorEastAsia" w:hAnsiTheme="majorEastAsia"/>
              </w:rPr>
              <w:t>实际能力培养训练课程</w:t>
            </w:r>
          </w:p>
        </w:tc>
      </w:tr>
      <w:tr w:rsidR="005A3AE7" w:rsidRPr="00BA14A9" w:rsidTr="00511E16">
        <w:trPr>
          <w:trHeight w:val="340"/>
        </w:trPr>
        <w:tc>
          <w:tcPr>
            <w:tcW w:w="675" w:type="dxa"/>
            <w:vMerge w:val="restart"/>
            <w:shd w:val="clear" w:color="auto" w:fill="auto"/>
            <w:vAlign w:val="center"/>
          </w:tcPr>
          <w:p w:rsidR="005A3AE7" w:rsidRPr="00BA14A9" w:rsidRDefault="005A3AE7" w:rsidP="00511E16">
            <w:pPr>
              <w:widowControl/>
              <w:snapToGrid w:val="0"/>
              <w:jc w:val="center"/>
              <w:rPr>
                <w:kern w:val="0"/>
                <w:szCs w:val="21"/>
              </w:rPr>
            </w:pPr>
            <w:r w:rsidRPr="00BA14A9">
              <w:rPr>
                <w:kern w:val="0"/>
                <w:szCs w:val="21"/>
              </w:rPr>
              <w:t>D</w:t>
            </w: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大气污控制技术与理论</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083002D02</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陈泽智</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固体废弃物处理技术</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083002D03</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陈建林</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化工设计概论</w:t>
            </w:r>
            <w:r w:rsidRPr="00BA14A9">
              <w:rPr>
                <w:color w:val="000000"/>
                <w:szCs w:val="21"/>
              </w:rPr>
              <w:t xml:space="preserve"> </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083002D04</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韩永忠</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环境材料学</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083002D05</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栾景飞</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清洁生产工艺</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083002D06</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周庆</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工程流体力学</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083002D09</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孙亚兵</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中水回用技术及工程</w:t>
            </w:r>
            <w:r w:rsidRPr="00BA14A9">
              <w:rPr>
                <w:color w:val="000000"/>
                <w:szCs w:val="21"/>
              </w:rPr>
              <w:t xml:space="preserve"> </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083002D14</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刘福强</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高分子水处理剂导论</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083002D15</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杨琥</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环境工程设计</w:t>
            </w:r>
            <w:r w:rsidRPr="00BA14A9">
              <w:rPr>
                <w:color w:val="000000"/>
                <w:szCs w:val="21"/>
              </w:rPr>
              <w:t>ABC</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083002D16</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吴军</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现代生态工程技术</w:t>
            </w:r>
            <w:r w:rsidRPr="00BA14A9">
              <w:rPr>
                <w:color w:val="000000"/>
                <w:szCs w:val="21"/>
              </w:rPr>
              <w:t xml:space="preserve"> </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083002D17</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李正魁</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高级水处理技术原理与进展</w:t>
            </w:r>
          </w:p>
        </w:tc>
        <w:tc>
          <w:tcPr>
            <w:tcW w:w="1512"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083002D18</w:t>
            </w:r>
          </w:p>
        </w:tc>
        <w:tc>
          <w:tcPr>
            <w:tcW w:w="1701"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高冠道</w:t>
            </w:r>
          </w:p>
        </w:tc>
        <w:tc>
          <w:tcPr>
            <w:tcW w:w="850" w:type="dxa"/>
            <w:shd w:val="clear" w:color="auto" w:fill="auto"/>
            <w:vAlign w:val="center"/>
          </w:tcPr>
          <w:p w:rsidR="005A3AE7" w:rsidRPr="00BA14A9" w:rsidRDefault="005A3AE7" w:rsidP="00511E1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11E1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Pr="00BA14A9" w:rsidRDefault="005A3AE7" w:rsidP="005A6646">
            <w:pPr>
              <w:snapToGrid w:val="0"/>
              <w:jc w:val="center"/>
              <w:rPr>
                <w:color w:val="000000"/>
                <w:szCs w:val="21"/>
              </w:rPr>
            </w:pPr>
            <w:r w:rsidRPr="00BA14A9">
              <w:rPr>
                <w:color w:val="000000"/>
                <w:szCs w:val="21"/>
              </w:rPr>
              <w:t>区域复合污染与排放源控制管理</w:t>
            </w:r>
          </w:p>
        </w:tc>
        <w:tc>
          <w:tcPr>
            <w:tcW w:w="1512" w:type="dxa"/>
            <w:shd w:val="clear" w:color="auto" w:fill="auto"/>
            <w:vAlign w:val="center"/>
          </w:tcPr>
          <w:p w:rsidR="005A3AE7" w:rsidRPr="00BA14A9" w:rsidRDefault="005A3AE7" w:rsidP="005A6646">
            <w:pPr>
              <w:snapToGrid w:val="0"/>
              <w:jc w:val="center"/>
              <w:rPr>
                <w:color w:val="000000"/>
                <w:szCs w:val="21"/>
              </w:rPr>
            </w:pPr>
            <w:r w:rsidRPr="00BA14A9">
              <w:rPr>
                <w:color w:val="000000"/>
                <w:szCs w:val="21"/>
              </w:rPr>
              <w:t>083002D19</w:t>
            </w:r>
          </w:p>
        </w:tc>
        <w:tc>
          <w:tcPr>
            <w:tcW w:w="1701" w:type="dxa"/>
            <w:shd w:val="clear" w:color="auto" w:fill="auto"/>
            <w:vAlign w:val="center"/>
          </w:tcPr>
          <w:p w:rsidR="005A3AE7" w:rsidRPr="00BA14A9" w:rsidRDefault="005A3AE7" w:rsidP="005A6646">
            <w:pPr>
              <w:snapToGrid w:val="0"/>
              <w:jc w:val="center"/>
              <w:rPr>
                <w:color w:val="000000"/>
                <w:szCs w:val="21"/>
              </w:rPr>
            </w:pPr>
            <w:r w:rsidRPr="00BA14A9">
              <w:rPr>
                <w:color w:val="000000"/>
                <w:szCs w:val="21"/>
              </w:rPr>
              <w:t>赵瑜</w:t>
            </w:r>
          </w:p>
        </w:tc>
        <w:tc>
          <w:tcPr>
            <w:tcW w:w="850" w:type="dxa"/>
            <w:shd w:val="clear" w:color="auto" w:fill="auto"/>
            <w:vAlign w:val="center"/>
          </w:tcPr>
          <w:p w:rsidR="005A3AE7" w:rsidRPr="00BA14A9" w:rsidRDefault="005A3AE7" w:rsidP="005A6646">
            <w:pPr>
              <w:snapToGrid w:val="0"/>
              <w:jc w:val="center"/>
              <w:rPr>
                <w:color w:val="000000"/>
                <w:szCs w:val="21"/>
              </w:rPr>
            </w:pPr>
            <w:r w:rsidRPr="00BA14A9">
              <w:rPr>
                <w:color w:val="000000"/>
                <w:szCs w:val="21"/>
              </w:rPr>
              <w:t>2</w:t>
            </w:r>
          </w:p>
        </w:tc>
        <w:tc>
          <w:tcPr>
            <w:tcW w:w="1749" w:type="dxa"/>
            <w:shd w:val="clear" w:color="auto" w:fill="auto"/>
            <w:vAlign w:val="center"/>
          </w:tcPr>
          <w:p w:rsidR="005A3AE7" w:rsidRPr="00BA14A9" w:rsidRDefault="005A3AE7" w:rsidP="005A6646">
            <w:pPr>
              <w:snapToGrid w:val="0"/>
              <w:jc w:val="center"/>
              <w:rPr>
                <w:color w:val="000000"/>
                <w:szCs w:val="21"/>
              </w:rPr>
            </w:pPr>
            <w:r w:rsidRPr="00BA14A9">
              <w:rPr>
                <w:rFonts w:hAnsi="宋体"/>
                <w:kern w:val="0"/>
                <w:szCs w:val="21"/>
              </w:rPr>
              <w:t>交叉前沿类课程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Default="005A3AE7" w:rsidP="00511E16">
            <w:pPr>
              <w:jc w:val="center"/>
              <w:rPr>
                <w:rFonts w:ascii="宋体" w:hAnsi="宋体" w:cs="宋体"/>
                <w:color w:val="000000"/>
                <w:sz w:val="22"/>
                <w:szCs w:val="22"/>
              </w:rPr>
            </w:pPr>
            <w:r>
              <w:rPr>
                <w:rFonts w:hint="eastAsia"/>
                <w:color w:val="000000"/>
                <w:sz w:val="22"/>
                <w:szCs w:val="22"/>
              </w:rPr>
              <w:t>水处理工程案例分析</w:t>
            </w:r>
          </w:p>
        </w:tc>
        <w:tc>
          <w:tcPr>
            <w:tcW w:w="1512" w:type="dxa"/>
            <w:shd w:val="clear" w:color="auto" w:fill="auto"/>
            <w:vAlign w:val="center"/>
          </w:tcPr>
          <w:p w:rsidR="005A3AE7" w:rsidRDefault="005A3AE7" w:rsidP="00511E16">
            <w:pPr>
              <w:jc w:val="center"/>
              <w:rPr>
                <w:rFonts w:ascii="宋体" w:hAnsi="宋体" w:cs="宋体"/>
                <w:sz w:val="20"/>
              </w:rPr>
            </w:pPr>
            <w:r>
              <w:rPr>
                <w:rFonts w:hint="eastAsia"/>
                <w:sz w:val="20"/>
              </w:rPr>
              <w:t>083002D01</w:t>
            </w:r>
          </w:p>
        </w:tc>
        <w:tc>
          <w:tcPr>
            <w:tcW w:w="1701" w:type="dxa"/>
            <w:shd w:val="clear" w:color="auto" w:fill="auto"/>
            <w:vAlign w:val="center"/>
          </w:tcPr>
          <w:p w:rsidR="005A3AE7" w:rsidRDefault="005A3AE7" w:rsidP="00511E16">
            <w:pPr>
              <w:jc w:val="center"/>
              <w:rPr>
                <w:rFonts w:ascii="宋体" w:hAnsi="宋体" w:cs="宋体"/>
                <w:color w:val="000000"/>
                <w:sz w:val="22"/>
                <w:szCs w:val="22"/>
              </w:rPr>
            </w:pPr>
            <w:r>
              <w:rPr>
                <w:rFonts w:hint="eastAsia"/>
                <w:color w:val="000000"/>
                <w:sz w:val="22"/>
                <w:szCs w:val="22"/>
              </w:rPr>
              <w:t>潘丙才（吕路、张炜铭）</w:t>
            </w:r>
          </w:p>
        </w:tc>
        <w:tc>
          <w:tcPr>
            <w:tcW w:w="850" w:type="dxa"/>
            <w:shd w:val="clear" w:color="auto" w:fill="auto"/>
            <w:vAlign w:val="center"/>
          </w:tcPr>
          <w:p w:rsidR="005A3AE7" w:rsidRDefault="005A3AE7" w:rsidP="00511E16">
            <w:pPr>
              <w:jc w:val="center"/>
            </w:pPr>
            <w:r w:rsidRPr="00CC58E8">
              <w:rPr>
                <w:rFonts w:ascii="宋体" w:hAnsi="宋体" w:cs="宋体" w:hint="eastAsia"/>
                <w:color w:val="000000"/>
                <w:szCs w:val="21"/>
              </w:rPr>
              <w:t>2</w:t>
            </w:r>
          </w:p>
        </w:tc>
        <w:tc>
          <w:tcPr>
            <w:tcW w:w="1749" w:type="dxa"/>
            <w:shd w:val="clear" w:color="auto" w:fill="auto"/>
            <w:vAlign w:val="center"/>
          </w:tcPr>
          <w:p w:rsidR="005A3AE7" w:rsidRDefault="005A3AE7" w:rsidP="00511E16">
            <w:pPr>
              <w:jc w:val="center"/>
            </w:pPr>
            <w:r w:rsidRPr="005C4EE8">
              <w:rPr>
                <w:rFonts w:eastAsiaTheme="majorEastAsia" w:hAnsiTheme="majorEastAsia"/>
              </w:rPr>
              <w:t>实际能力培养训练课程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Default="005A3AE7" w:rsidP="00511E16">
            <w:pPr>
              <w:jc w:val="center"/>
              <w:rPr>
                <w:rFonts w:ascii="宋体" w:hAnsi="宋体" w:cs="宋体"/>
                <w:color w:val="000000"/>
                <w:sz w:val="22"/>
                <w:szCs w:val="22"/>
              </w:rPr>
            </w:pPr>
            <w:r>
              <w:rPr>
                <w:rFonts w:hint="eastAsia"/>
                <w:color w:val="000000"/>
                <w:sz w:val="22"/>
                <w:szCs w:val="22"/>
              </w:rPr>
              <w:t>企业管理</w:t>
            </w:r>
          </w:p>
        </w:tc>
        <w:tc>
          <w:tcPr>
            <w:tcW w:w="1512" w:type="dxa"/>
            <w:shd w:val="clear" w:color="auto" w:fill="auto"/>
            <w:vAlign w:val="center"/>
          </w:tcPr>
          <w:p w:rsidR="005A3AE7" w:rsidRDefault="005A3AE7" w:rsidP="00511E16">
            <w:pPr>
              <w:jc w:val="center"/>
              <w:rPr>
                <w:rFonts w:ascii="宋体" w:hAnsi="宋体" w:cs="宋体"/>
                <w:sz w:val="20"/>
              </w:rPr>
            </w:pPr>
            <w:r>
              <w:rPr>
                <w:rFonts w:hint="eastAsia"/>
                <w:sz w:val="20"/>
              </w:rPr>
              <w:t>083000D02</w:t>
            </w:r>
          </w:p>
        </w:tc>
        <w:tc>
          <w:tcPr>
            <w:tcW w:w="1701" w:type="dxa"/>
            <w:shd w:val="clear" w:color="auto" w:fill="auto"/>
            <w:vAlign w:val="center"/>
          </w:tcPr>
          <w:p w:rsidR="005A3AE7" w:rsidRDefault="005A3AE7" w:rsidP="00511E16">
            <w:pPr>
              <w:jc w:val="center"/>
              <w:rPr>
                <w:rFonts w:ascii="宋体" w:hAnsi="宋体" w:cs="宋体"/>
                <w:color w:val="000000"/>
                <w:sz w:val="22"/>
                <w:szCs w:val="22"/>
              </w:rPr>
            </w:pPr>
          </w:p>
        </w:tc>
        <w:tc>
          <w:tcPr>
            <w:tcW w:w="850" w:type="dxa"/>
            <w:shd w:val="clear" w:color="auto" w:fill="auto"/>
            <w:vAlign w:val="center"/>
          </w:tcPr>
          <w:p w:rsidR="005A3AE7" w:rsidRDefault="005A3AE7" w:rsidP="00511E16">
            <w:pPr>
              <w:jc w:val="center"/>
            </w:pPr>
            <w:r w:rsidRPr="00CC58E8">
              <w:rPr>
                <w:rFonts w:ascii="宋体" w:hAnsi="宋体" w:cs="宋体" w:hint="eastAsia"/>
                <w:color w:val="000000"/>
                <w:szCs w:val="21"/>
              </w:rPr>
              <w:t>2</w:t>
            </w:r>
          </w:p>
        </w:tc>
        <w:tc>
          <w:tcPr>
            <w:tcW w:w="1749" w:type="dxa"/>
            <w:shd w:val="clear" w:color="auto" w:fill="auto"/>
            <w:vAlign w:val="center"/>
          </w:tcPr>
          <w:p w:rsidR="005A3AE7" w:rsidRDefault="005A3AE7" w:rsidP="00511E16">
            <w:pPr>
              <w:jc w:val="center"/>
            </w:pPr>
            <w:r w:rsidRPr="005C4EE8">
              <w:rPr>
                <w:rFonts w:eastAsiaTheme="majorEastAsia" w:hAnsiTheme="majorEastAsia"/>
              </w:rPr>
              <w:t>实际能力培养训练课程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Default="005A3AE7" w:rsidP="00511E16">
            <w:pPr>
              <w:jc w:val="center"/>
              <w:rPr>
                <w:rFonts w:ascii="宋体" w:hAnsi="宋体" w:cs="宋体"/>
                <w:color w:val="000000"/>
                <w:sz w:val="22"/>
                <w:szCs w:val="22"/>
              </w:rPr>
            </w:pPr>
            <w:r>
              <w:rPr>
                <w:rFonts w:hint="eastAsia"/>
                <w:color w:val="000000"/>
                <w:sz w:val="22"/>
                <w:szCs w:val="22"/>
              </w:rPr>
              <w:t>会计学基本知识</w:t>
            </w:r>
          </w:p>
        </w:tc>
        <w:tc>
          <w:tcPr>
            <w:tcW w:w="1512" w:type="dxa"/>
            <w:shd w:val="clear" w:color="auto" w:fill="auto"/>
            <w:vAlign w:val="center"/>
          </w:tcPr>
          <w:p w:rsidR="005A3AE7" w:rsidRDefault="005A3AE7" w:rsidP="00511E16">
            <w:pPr>
              <w:jc w:val="center"/>
              <w:rPr>
                <w:rFonts w:ascii="宋体" w:hAnsi="宋体" w:cs="宋体"/>
                <w:sz w:val="20"/>
              </w:rPr>
            </w:pPr>
            <w:r>
              <w:rPr>
                <w:rFonts w:hint="eastAsia"/>
                <w:sz w:val="20"/>
              </w:rPr>
              <w:t>083000D03</w:t>
            </w:r>
          </w:p>
        </w:tc>
        <w:tc>
          <w:tcPr>
            <w:tcW w:w="1701" w:type="dxa"/>
            <w:shd w:val="clear" w:color="auto" w:fill="auto"/>
            <w:vAlign w:val="center"/>
          </w:tcPr>
          <w:p w:rsidR="005A3AE7" w:rsidRDefault="005A3AE7" w:rsidP="00511E16">
            <w:pPr>
              <w:jc w:val="center"/>
              <w:rPr>
                <w:rFonts w:ascii="宋体" w:hAnsi="宋体" w:cs="宋体"/>
                <w:color w:val="000000"/>
                <w:sz w:val="22"/>
                <w:szCs w:val="22"/>
              </w:rPr>
            </w:pPr>
          </w:p>
        </w:tc>
        <w:tc>
          <w:tcPr>
            <w:tcW w:w="850" w:type="dxa"/>
            <w:shd w:val="clear" w:color="auto" w:fill="auto"/>
            <w:vAlign w:val="center"/>
          </w:tcPr>
          <w:p w:rsidR="005A3AE7" w:rsidRDefault="005A3AE7" w:rsidP="00511E16">
            <w:pPr>
              <w:jc w:val="center"/>
            </w:pPr>
            <w:r w:rsidRPr="00CC58E8">
              <w:rPr>
                <w:rFonts w:ascii="宋体" w:hAnsi="宋体" w:cs="宋体" w:hint="eastAsia"/>
                <w:color w:val="000000"/>
                <w:szCs w:val="21"/>
              </w:rPr>
              <w:t>2</w:t>
            </w:r>
          </w:p>
        </w:tc>
        <w:tc>
          <w:tcPr>
            <w:tcW w:w="1749" w:type="dxa"/>
            <w:shd w:val="clear" w:color="auto" w:fill="auto"/>
            <w:vAlign w:val="center"/>
          </w:tcPr>
          <w:p w:rsidR="005A3AE7" w:rsidRDefault="005A3AE7" w:rsidP="00511E16">
            <w:pPr>
              <w:jc w:val="center"/>
            </w:pPr>
            <w:r w:rsidRPr="005C4EE8">
              <w:rPr>
                <w:rFonts w:eastAsiaTheme="majorEastAsia" w:hAnsiTheme="majorEastAsia"/>
              </w:rPr>
              <w:t>实际能力培养训练课程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Default="005A3AE7" w:rsidP="00511E16">
            <w:pPr>
              <w:jc w:val="center"/>
              <w:rPr>
                <w:rFonts w:ascii="宋体" w:hAnsi="宋体" w:cs="宋体"/>
                <w:color w:val="000000"/>
                <w:sz w:val="22"/>
                <w:szCs w:val="22"/>
              </w:rPr>
            </w:pPr>
            <w:r>
              <w:rPr>
                <w:rFonts w:hint="eastAsia"/>
                <w:color w:val="000000"/>
                <w:sz w:val="22"/>
                <w:szCs w:val="22"/>
              </w:rPr>
              <w:t>环境健康与安全</w:t>
            </w:r>
          </w:p>
        </w:tc>
        <w:tc>
          <w:tcPr>
            <w:tcW w:w="1512" w:type="dxa"/>
            <w:shd w:val="clear" w:color="auto" w:fill="auto"/>
            <w:vAlign w:val="center"/>
          </w:tcPr>
          <w:p w:rsidR="005A3AE7" w:rsidRDefault="005A3AE7" w:rsidP="00511E16">
            <w:pPr>
              <w:jc w:val="center"/>
              <w:rPr>
                <w:rFonts w:ascii="宋体" w:hAnsi="宋体" w:cs="宋体"/>
                <w:sz w:val="20"/>
              </w:rPr>
            </w:pPr>
            <w:r>
              <w:rPr>
                <w:rFonts w:hint="eastAsia"/>
                <w:sz w:val="20"/>
              </w:rPr>
              <w:t>083000D04</w:t>
            </w:r>
          </w:p>
        </w:tc>
        <w:tc>
          <w:tcPr>
            <w:tcW w:w="1701" w:type="dxa"/>
            <w:shd w:val="clear" w:color="auto" w:fill="auto"/>
            <w:vAlign w:val="center"/>
          </w:tcPr>
          <w:p w:rsidR="005A3AE7" w:rsidRDefault="005A3AE7" w:rsidP="00511E16">
            <w:pPr>
              <w:jc w:val="center"/>
              <w:rPr>
                <w:rFonts w:ascii="宋体" w:hAnsi="宋体" w:cs="宋体"/>
                <w:color w:val="000000"/>
                <w:sz w:val="22"/>
                <w:szCs w:val="22"/>
              </w:rPr>
            </w:pPr>
          </w:p>
        </w:tc>
        <w:tc>
          <w:tcPr>
            <w:tcW w:w="850" w:type="dxa"/>
            <w:shd w:val="clear" w:color="auto" w:fill="auto"/>
            <w:vAlign w:val="center"/>
          </w:tcPr>
          <w:p w:rsidR="005A3AE7" w:rsidRDefault="005A3AE7" w:rsidP="00511E16">
            <w:pPr>
              <w:jc w:val="center"/>
            </w:pPr>
            <w:r w:rsidRPr="00CC58E8">
              <w:rPr>
                <w:rFonts w:ascii="宋体" w:hAnsi="宋体" w:cs="宋体" w:hint="eastAsia"/>
                <w:color w:val="000000"/>
                <w:szCs w:val="21"/>
              </w:rPr>
              <w:t>2</w:t>
            </w:r>
          </w:p>
        </w:tc>
        <w:tc>
          <w:tcPr>
            <w:tcW w:w="1749" w:type="dxa"/>
            <w:shd w:val="clear" w:color="auto" w:fill="auto"/>
            <w:vAlign w:val="center"/>
          </w:tcPr>
          <w:p w:rsidR="005A3AE7" w:rsidRDefault="005A3AE7" w:rsidP="00511E16">
            <w:pPr>
              <w:jc w:val="center"/>
            </w:pPr>
            <w:r w:rsidRPr="005C4EE8">
              <w:rPr>
                <w:rFonts w:eastAsiaTheme="majorEastAsia" w:hAnsiTheme="majorEastAsia"/>
              </w:rPr>
              <w:t>实际能力培养训练课程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Default="005A3AE7" w:rsidP="00511E16">
            <w:pPr>
              <w:jc w:val="center"/>
              <w:rPr>
                <w:rFonts w:ascii="宋体" w:hAnsi="宋体" w:cs="宋体"/>
                <w:color w:val="000000"/>
                <w:sz w:val="22"/>
                <w:szCs w:val="22"/>
              </w:rPr>
            </w:pPr>
            <w:r>
              <w:rPr>
                <w:rFonts w:hint="eastAsia"/>
                <w:color w:val="000000"/>
                <w:sz w:val="22"/>
                <w:szCs w:val="22"/>
              </w:rPr>
              <w:t>环境健康评估与管理</w:t>
            </w:r>
          </w:p>
        </w:tc>
        <w:tc>
          <w:tcPr>
            <w:tcW w:w="1512" w:type="dxa"/>
            <w:shd w:val="clear" w:color="auto" w:fill="auto"/>
            <w:vAlign w:val="center"/>
          </w:tcPr>
          <w:p w:rsidR="005A3AE7" w:rsidRDefault="005A3AE7" w:rsidP="00511E16">
            <w:pPr>
              <w:jc w:val="center"/>
              <w:rPr>
                <w:rFonts w:ascii="宋体" w:hAnsi="宋体" w:cs="宋体"/>
                <w:sz w:val="20"/>
              </w:rPr>
            </w:pPr>
            <w:r>
              <w:rPr>
                <w:rFonts w:hint="eastAsia"/>
                <w:sz w:val="20"/>
              </w:rPr>
              <w:t>083000D05</w:t>
            </w:r>
          </w:p>
        </w:tc>
        <w:tc>
          <w:tcPr>
            <w:tcW w:w="1701" w:type="dxa"/>
            <w:shd w:val="clear" w:color="auto" w:fill="auto"/>
            <w:vAlign w:val="center"/>
          </w:tcPr>
          <w:p w:rsidR="005A3AE7" w:rsidRDefault="005A3AE7" w:rsidP="00511E16">
            <w:pPr>
              <w:jc w:val="center"/>
              <w:rPr>
                <w:rFonts w:ascii="宋体" w:hAnsi="宋体" w:cs="宋体"/>
                <w:color w:val="000000"/>
                <w:sz w:val="22"/>
                <w:szCs w:val="22"/>
              </w:rPr>
            </w:pPr>
            <w:r>
              <w:rPr>
                <w:rFonts w:hint="eastAsia"/>
                <w:color w:val="000000"/>
                <w:sz w:val="22"/>
                <w:szCs w:val="22"/>
              </w:rPr>
              <w:t>毕军</w:t>
            </w:r>
          </w:p>
        </w:tc>
        <w:tc>
          <w:tcPr>
            <w:tcW w:w="850" w:type="dxa"/>
            <w:shd w:val="clear" w:color="auto" w:fill="auto"/>
            <w:vAlign w:val="center"/>
          </w:tcPr>
          <w:p w:rsidR="005A3AE7" w:rsidRDefault="005A3AE7" w:rsidP="00511E16">
            <w:pPr>
              <w:jc w:val="center"/>
            </w:pPr>
            <w:r w:rsidRPr="00CC58E8">
              <w:rPr>
                <w:rFonts w:ascii="宋体" w:hAnsi="宋体" w:cs="宋体" w:hint="eastAsia"/>
                <w:color w:val="000000"/>
                <w:szCs w:val="21"/>
              </w:rPr>
              <w:t>2</w:t>
            </w:r>
          </w:p>
        </w:tc>
        <w:tc>
          <w:tcPr>
            <w:tcW w:w="1749" w:type="dxa"/>
            <w:shd w:val="clear" w:color="auto" w:fill="auto"/>
            <w:vAlign w:val="center"/>
          </w:tcPr>
          <w:p w:rsidR="005A3AE7" w:rsidRDefault="005A3AE7" w:rsidP="00511E16">
            <w:pPr>
              <w:jc w:val="center"/>
            </w:pPr>
            <w:r w:rsidRPr="005C4EE8">
              <w:rPr>
                <w:rFonts w:eastAsiaTheme="majorEastAsia" w:hAnsiTheme="majorEastAsia"/>
              </w:rPr>
              <w:t>实际能力培养训练课程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Default="005A3AE7" w:rsidP="00511E16">
            <w:pPr>
              <w:jc w:val="center"/>
              <w:rPr>
                <w:rFonts w:ascii="宋体" w:hAnsi="宋体" w:cs="宋体"/>
                <w:color w:val="000000"/>
                <w:sz w:val="22"/>
                <w:szCs w:val="22"/>
              </w:rPr>
            </w:pPr>
            <w:r>
              <w:rPr>
                <w:rFonts w:hint="eastAsia"/>
                <w:color w:val="000000"/>
                <w:sz w:val="22"/>
                <w:szCs w:val="22"/>
              </w:rPr>
              <w:t>环保产业的创新创业</w:t>
            </w:r>
          </w:p>
        </w:tc>
        <w:tc>
          <w:tcPr>
            <w:tcW w:w="1512" w:type="dxa"/>
            <w:shd w:val="clear" w:color="auto" w:fill="auto"/>
            <w:vAlign w:val="center"/>
          </w:tcPr>
          <w:p w:rsidR="005A3AE7" w:rsidRDefault="005A3AE7" w:rsidP="00511E16">
            <w:pPr>
              <w:jc w:val="center"/>
              <w:rPr>
                <w:rFonts w:ascii="宋体" w:hAnsi="宋体" w:cs="宋体"/>
                <w:sz w:val="20"/>
              </w:rPr>
            </w:pPr>
            <w:r>
              <w:rPr>
                <w:rFonts w:hint="eastAsia"/>
                <w:sz w:val="20"/>
              </w:rPr>
              <w:t>083000D06</w:t>
            </w:r>
          </w:p>
        </w:tc>
        <w:tc>
          <w:tcPr>
            <w:tcW w:w="1701" w:type="dxa"/>
            <w:shd w:val="clear" w:color="auto" w:fill="auto"/>
            <w:vAlign w:val="center"/>
          </w:tcPr>
          <w:p w:rsidR="005A3AE7" w:rsidRDefault="005A3AE7" w:rsidP="00511E16">
            <w:pPr>
              <w:jc w:val="center"/>
              <w:rPr>
                <w:rFonts w:ascii="宋体" w:hAnsi="宋体" w:cs="宋体"/>
                <w:color w:val="000000"/>
                <w:sz w:val="22"/>
                <w:szCs w:val="22"/>
              </w:rPr>
            </w:pPr>
            <w:r>
              <w:rPr>
                <w:rFonts w:hint="eastAsia"/>
                <w:color w:val="000000"/>
                <w:sz w:val="22"/>
                <w:szCs w:val="22"/>
              </w:rPr>
              <w:t>李良</w:t>
            </w:r>
          </w:p>
        </w:tc>
        <w:tc>
          <w:tcPr>
            <w:tcW w:w="850" w:type="dxa"/>
            <w:shd w:val="clear" w:color="auto" w:fill="auto"/>
            <w:vAlign w:val="center"/>
          </w:tcPr>
          <w:p w:rsidR="005A3AE7" w:rsidRPr="00205C3F" w:rsidRDefault="005A3AE7" w:rsidP="00511E16">
            <w:pPr>
              <w:snapToGrid w:val="0"/>
              <w:jc w:val="center"/>
              <w:rPr>
                <w:rFonts w:ascii="宋体" w:hAnsi="宋体" w:cs="宋体"/>
                <w:color w:val="000000"/>
                <w:szCs w:val="21"/>
              </w:rPr>
            </w:pPr>
            <w:r>
              <w:rPr>
                <w:rFonts w:ascii="宋体" w:hAnsi="宋体" w:cs="宋体" w:hint="eastAsia"/>
                <w:color w:val="000000"/>
                <w:szCs w:val="21"/>
              </w:rPr>
              <w:t>1</w:t>
            </w:r>
          </w:p>
        </w:tc>
        <w:tc>
          <w:tcPr>
            <w:tcW w:w="1749" w:type="dxa"/>
            <w:shd w:val="clear" w:color="auto" w:fill="auto"/>
            <w:vAlign w:val="center"/>
          </w:tcPr>
          <w:p w:rsidR="005A3AE7" w:rsidRDefault="005A3AE7" w:rsidP="00511E16">
            <w:pPr>
              <w:jc w:val="center"/>
            </w:pPr>
            <w:r w:rsidRPr="005C4EE8">
              <w:rPr>
                <w:rFonts w:eastAsiaTheme="majorEastAsia" w:hAnsiTheme="majorEastAsia"/>
              </w:rPr>
              <w:t>实际能力培养训练课程</w:t>
            </w:r>
          </w:p>
        </w:tc>
      </w:tr>
      <w:tr w:rsidR="005A3AE7" w:rsidRPr="00BA14A9" w:rsidTr="00511E16">
        <w:trPr>
          <w:trHeight w:val="340"/>
        </w:trPr>
        <w:tc>
          <w:tcPr>
            <w:tcW w:w="675" w:type="dxa"/>
            <w:vMerge/>
            <w:shd w:val="clear" w:color="auto" w:fill="auto"/>
            <w:vAlign w:val="center"/>
          </w:tcPr>
          <w:p w:rsidR="005A3AE7" w:rsidRPr="00BA14A9" w:rsidRDefault="005A3AE7" w:rsidP="00511E16">
            <w:pPr>
              <w:widowControl/>
              <w:snapToGrid w:val="0"/>
              <w:jc w:val="center"/>
              <w:rPr>
                <w:kern w:val="0"/>
                <w:szCs w:val="21"/>
              </w:rPr>
            </w:pPr>
          </w:p>
        </w:tc>
        <w:tc>
          <w:tcPr>
            <w:tcW w:w="2410" w:type="dxa"/>
            <w:shd w:val="clear" w:color="auto" w:fill="auto"/>
            <w:vAlign w:val="center"/>
          </w:tcPr>
          <w:p w:rsidR="005A3AE7" w:rsidRDefault="005A3AE7" w:rsidP="00511E16">
            <w:pPr>
              <w:jc w:val="center"/>
              <w:rPr>
                <w:color w:val="000000"/>
                <w:sz w:val="22"/>
                <w:szCs w:val="22"/>
              </w:rPr>
            </w:pPr>
            <w:r>
              <w:rPr>
                <w:color w:val="000000"/>
                <w:sz w:val="22"/>
                <w:szCs w:val="22"/>
              </w:rPr>
              <w:t>EHS</w:t>
            </w:r>
            <w:r>
              <w:rPr>
                <w:rFonts w:hint="eastAsia"/>
                <w:color w:val="000000"/>
                <w:sz w:val="22"/>
                <w:szCs w:val="22"/>
              </w:rPr>
              <w:t>方向就业知识培训</w:t>
            </w:r>
          </w:p>
        </w:tc>
        <w:tc>
          <w:tcPr>
            <w:tcW w:w="1512" w:type="dxa"/>
            <w:shd w:val="clear" w:color="auto" w:fill="auto"/>
            <w:vAlign w:val="center"/>
          </w:tcPr>
          <w:p w:rsidR="005A3AE7" w:rsidRDefault="005A3AE7" w:rsidP="00511E16">
            <w:pPr>
              <w:jc w:val="center"/>
              <w:rPr>
                <w:rFonts w:ascii="宋体" w:hAnsi="宋体" w:cs="宋体"/>
                <w:sz w:val="20"/>
              </w:rPr>
            </w:pPr>
            <w:r>
              <w:rPr>
                <w:rFonts w:hint="eastAsia"/>
                <w:sz w:val="20"/>
              </w:rPr>
              <w:t>083000D07</w:t>
            </w:r>
          </w:p>
        </w:tc>
        <w:tc>
          <w:tcPr>
            <w:tcW w:w="1701" w:type="dxa"/>
            <w:shd w:val="clear" w:color="auto" w:fill="auto"/>
            <w:vAlign w:val="center"/>
          </w:tcPr>
          <w:p w:rsidR="005A3AE7" w:rsidRDefault="005A3AE7" w:rsidP="00511E16">
            <w:pPr>
              <w:jc w:val="center"/>
              <w:rPr>
                <w:rFonts w:ascii="宋体" w:hAnsi="宋体" w:cs="宋体"/>
                <w:color w:val="000000"/>
                <w:sz w:val="22"/>
                <w:szCs w:val="22"/>
              </w:rPr>
            </w:pPr>
            <w:r>
              <w:rPr>
                <w:rFonts w:hint="eastAsia"/>
                <w:color w:val="000000"/>
                <w:sz w:val="22"/>
                <w:szCs w:val="22"/>
              </w:rPr>
              <w:t>李良</w:t>
            </w:r>
          </w:p>
        </w:tc>
        <w:tc>
          <w:tcPr>
            <w:tcW w:w="850" w:type="dxa"/>
            <w:shd w:val="clear" w:color="auto" w:fill="auto"/>
            <w:vAlign w:val="center"/>
          </w:tcPr>
          <w:p w:rsidR="005A3AE7" w:rsidRPr="00205C3F" w:rsidRDefault="005A3AE7" w:rsidP="00511E16">
            <w:pPr>
              <w:snapToGrid w:val="0"/>
              <w:jc w:val="center"/>
              <w:rPr>
                <w:rFonts w:ascii="宋体" w:hAnsi="宋体" w:cs="宋体"/>
                <w:color w:val="000000"/>
                <w:szCs w:val="21"/>
              </w:rPr>
            </w:pPr>
            <w:r>
              <w:rPr>
                <w:rFonts w:ascii="宋体" w:hAnsi="宋体" w:cs="宋体" w:hint="eastAsia"/>
                <w:color w:val="000000"/>
                <w:szCs w:val="21"/>
              </w:rPr>
              <w:t>1</w:t>
            </w:r>
          </w:p>
        </w:tc>
        <w:tc>
          <w:tcPr>
            <w:tcW w:w="1749" w:type="dxa"/>
            <w:shd w:val="clear" w:color="auto" w:fill="auto"/>
            <w:vAlign w:val="center"/>
          </w:tcPr>
          <w:p w:rsidR="005A3AE7" w:rsidRDefault="005A3AE7" w:rsidP="00511E16">
            <w:pPr>
              <w:jc w:val="center"/>
            </w:pPr>
            <w:r w:rsidRPr="005C4EE8">
              <w:rPr>
                <w:rFonts w:eastAsiaTheme="majorEastAsia" w:hAnsiTheme="majorEastAsia"/>
              </w:rPr>
              <w:t>实际能力培养训练课程</w:t>
            </w:r>
          </w:p>
        </w:tc>
      </w:tr>
    </w:tbl>
    <w:p w:rsidR="00810A22" w:rsidRPr="00810A22" w:rsidRDefault="00810A22" w:rsidP="005A3AE7">
      <w:pPr>
        <w:tabs>
          <w:tab w:val="left" w:pos="525"/>
          <w:tab w:val="right" w:pos="900"/>
          <w:tab w:val="left" w:pos="1080"/>
        </w:tabs>
        <w:snapToGrid w:val="0"/>
        <w:spacing w:line="360" w:lineRule="auto"/>
        <w:ind w:left="456" w:right="-3420" w:hanging="456"/>
        <w:rPr>
          <w:rFonts w:eastAsiaTheme="minorEastAsia" w:hAnsiTheme="minorEastAsia"/>
          <w:sz w:val="24"/>
        </w:rPr>
      </w:pPr>
    </w:p>
    <w:p w:rsidR="00303678" w:rsidRPr="00680328" w:rsidRDefault="00303678" w:rsidP="00164564">
      <w:pPr>
        <w:pStyle w:val="a4"/>
        <w:snapToGrid w:val="0"/>
        <w:spacing w:before="0" w:beforeAutospacing="0" w:after="0" w:afterAutospacing="0" w:line="360" w:lineRule="auto"/>
        <w:ind w:leftChars="228" w:left="479"/>
      </w:pPr>
      <w:r w:rsidRPr="00680328">
        <w:rPr>
          <w:rStyle w:val="style6"/>
        </w:rPr>
        <w:lastRenderedPageBreak/>
        <w:t>说明：</w:t>
      </w:r>
      <w:r w:rsidRPr="00680328">
        <w:br/>
      </w:r>
      <w:r w:rsidRPr="00680328">
        <w:rPr>
          <w:rStyle w:val="style6"/>
        </w:rPr>
        <w:t>A类：全校公共外语、政治理论等学位课程；</w:t>
      </w:r>
      <w:r w:rsidRPr="00680328">
        <w:br/>
      </w:r>
      <w:r w:rsidRPr="00680328">
        <w:rPr>
          <w:rStyle w:val="style6"/>
        </w:rPr>
        <w:t>B类：以一级学科为基础的公共学位课</w:t>
      </w:r>
      <w:r w:rsidRPr="00680328">
        <w:rPr>
          <w:rStyle w:val="style6"/>
          <w:rFonts w:hint="eastAsia"/>
        </w:rPr>
        <w:t>（必修）</w:t>
      </w:r>
      <w:r w:rsidRPr="00680328">
        <w:rPr>
          <w:rStyle w:val="style6"/>
        </w:rPr>
        <w:t>；</w:t>
      </w:r>
      <w:r w:rsidRPr="00680328">
        <w:br/>
      </w:r>
      <w:r w:rsidRPr="00680328">
        <w:rPr>
          <w:rStyle w:val="style6"/>
        </w:rPr>
        <w:t>C类：以</w:t>
      </w:r>
      <w:r w:rsidRPr="00680328">
        <w:rPr>
          <w:rStyle w:val="style6"/>
          <w:rFonts w:hint="eastAsia"/>
        </w:rPr>
        <w:t>一</w:t>
      </w:r>
      <w:r w:rsidRPr="00680328">
        <w:rPr>
          <w:rStyle w:val="style6"/>
        </w:rPr>
        <w:t>级学科</w:t>
      </w:r>
      <w:r w:rsidRPr="00680328">
        <w:rPr>
          <w:rStyle w:val="style6"/>
          <w:rFonts w:hint="eastAsia"/>
        </w:rPr>
        <w:t>研究方向为</w:t>
      </w:r>
      <w:r w:rsidRPr="00680328">
        <w:rPr>
          <w:rStyle w:val="style6"/>
        </w:rPr>
        <w:t>特色的学位课</w:t>
      </w:r>
      <w:r w:rsidRPr="00680328">
        <w:rPr>
          <w:rStyle w:val="style6"/>
          <w:rFonts w:hint="eastAsia"/>
        </w:rPr>
        <w:t>（</w:t>
      </w:r>
      <w:r w:rsidR="00075A36">
        <w:rPr>
          <w:rStyle w:val="style6"/>
          <w:rFonts w:hint="eastAsia"/>
        </w:rPr>
        <w:t>必修，修满</w:t>
      </w:r>
      <w:r w:rsidR="00075A36">
        <w:rPr>
          <w:rStyle w:val="style6"/>
        </w:rPr>
        <w:t>8</w:t>
      </w:r>
      <w:r w:rsidR="00075A36">
        <w:rPr>
          <w:rStyle w:val="style6"/>
          <w:rFonts w:hint="eastAsia"/>
        </w:rPr>
        <w:t>个学分</w:t>
      </w:r>
      <w:r w:rsidRPr="00680328">
        <w:rPr>
          <w:rStyle w:val="style6"/>
          <w:rFonts w:hint="eastAsia"/>
        </w:rPr>
        <w:t>）</w:t>
      </w:r>
      <w:r w:rsidRPr="00680328">
        <w:rPr>
          <w:rStyle w:val="style6"/>
        </w:rPr>
        <w:t>；</w:t>
      </w:r>
      <w:r w:rsidRPr="00680328">
        <w:br/>
      </w:r>
      <w:r w:rsidRPr="00680328">
        <w:rPr>
          <w:rStyle w:val="style6"/>
        </w:rPr>
        <w:t>D</w:t>
      </w:r>
      <w:r>
        <w:rPr>
          <w:rStyle w:val="style6"/>
        </w:rPr>
        <w:t>类</w:t>
      </w:r>
      <w:r>
        <w:rPr>
          <w:rStyle w:val="style6"/>
          <w:rFonts w:hint="eastAsia"/>
        </w:rPr>
        <w:t>：</w:t>
      </w:r>
      <w:r w:rsidRPr="00680328">
        <w:rPr>
          <w:rStyle w:val="style6"/>
        </w:rPr>
        <w:t>全校公共选修课、各院系开设的选修课程和有关研究方向的学位课</w:t>
      </w:r>
      <w:r w:rsidRPr="00680328">
        <w:rPr>
          <w:rStyle w:val="style6"/>
          <w:rFonts w:hint="eastAsia"/>
        </w:rPr>
        <w:t>（选修）</w:t>
      </w:r>
      <w:r w:rsidRPr="00680328">
        <w:rPr>
          <w:rStyle w:val="style6"/>
        </w:rPr>
        <w:t>。</w:t>
      </w:r>
      <w:r w:rsidRPr="00680328">
        <w:t xml:space="preserve"> </w:t>
      </w:r>
    </w:p>
    <w:p w:rsidR="007F5CC0" w:rsidRPr="007F5CC0" w:rsidRDefault="007F5CC0" w:rsidP="00164564">
      <w:pPr>
        <w:tabs>
          <w:tab w:val="left" w:pos="525"/>
          <w:tab w:val="right" w:pos="900"/>
          <w:tab w:val="left" w:pos="1080"/>
        </w:tabs>
        <w:snapToGrid w:val="0"/>
        <w:spacing w:line="360" w:lineRule="auto"/>
        <w:ind w:right="-3420" w:firstLineChars="200" w:firstLine="482"/>
        <w:rPr>
          <w:rFonts w:eastAsiaTheme="minorEastAsia"/>
          <w:b/>
          <w:bCs/>
          <w:sz w:val="24"/>
        </w:rPr>
      </w:pPr>
      <w:r w:rsidRPr="007F5CC0">
        <w:rPr>
          <w:rFonts w:eastAsiaTheme="minorEastAsia" w:hAnsiTheme="minorEastAsia"/>
          <w:b/>
          <w:bCs/>
          <w:sz w:val="24"/>
        </w:rPr>
        <w:t>补修课程：</w:t>
      </w:r>
    </w:p>
    <w:p w:rsidR="007F5CC0" w:rsidRPr="007F5CC0" w:rsidRDefault="007F5CC0" w:rsidP="00164564">
      <w:pPr>
        <w:tabs>
          <w:tab w:val="right" w:pos="900"/>
          <w:tab w:val="left" w:pos="1080"/>
        </w:tabs>
        <w:adjustRightInd w:val="0"/>
        <w:snapToGrid w:val="0"/>
        <w:spacing w:line="360" w:lineRule="auto"/>
        <w:ind w:firstLineChars="200" w:firstLine="480"/>
        <w:rPr>
          <w:rFonts w:eastAsiaTheme="minorEastAsia"/>
          <w:sz w:val="24"/>
        </w:rPr>
      </w:pPr>
      <w:r w:rsidRPr="007F5CC0">
        <w:rPr>
          <w:rFonts w:eastAsiaTheme="minorEastAsia" w:hAnsiTheme="minorEastAsia"/>
          <w:sz w:val="24"/>
        </w:rPr>
        <w:t>本科阶段不是环境科学与工程一级学科的学生及在本学科上欠缺环境科学与工程本科层次知识的硕士研究生，应根据学校要求在导师指导下补修有关课程，补修不合格者不予毕业。硕士研究生实行学分制，一般为</w:t>
      </w:r>
      <w:r w:rsidRPr="007F5CC0">
        <w:rPr>
          <w:rFonts w:eastAsiaTheme="minorEastAsia"/>
          <w:sz w:val="24"/>
        </w:rPr>
        <w:t>32</w:t>
      </w:r>
      <w:r w:rsidRPr="007F5CC0">
        <w:rPr>
          <w:rFonts w:eastAsiaTheme="minorEastAsia" w:hAnsiTheme="minorEastAsia"/>
          <w:sz w:val="24"/>
        </w:rPr>
        <w:t>个学分，非本科及同等学力入学者为</w:t>
      </w:r>
      <w:r w:rsidRPr="007F5CC0">
        <w:rPr>
          <w:rFonts w:eastAsiaTheme="minorEastAsia"/>
          <w:sz w:val="24"/>
        </w:rPr>
        <w:t>36</w:t>
      </w:r>
      <w:r w:rsidRPr="007F5CC0">
        <w:rPr>
          <w:rFonts w:eastAsiaTheme="minorEastAsia" w:hAnsiTheme="minorEastAsia"/>
          <w:sz w:val="24"/>
        </w:rPr>
        <w:t>个学分。</w:t>
      </w:r>
    </w:p>
    <w:p w:rsidR="00B96EDD" w:rsidRPr="00235968" w:rsidRDefault="00B96EDD" w:rsidP="00B96EDD">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六、培养方式</w:t>
      </w:r>
    </w:p>
    <w:p w:rsidR="00B96EDD" w:rsidRDefault="00B96EDD" w:rsidP="00B96EDD">
      <w:pPr>
        <w:tabs>
          <w:tab w:val="right" w:pos="900"/>
        </w:tabs>
        <w:snapToGrid w:val="0"/>
        <w:spacing w:line="360" w:lineRule="auto"/>
        <w:ind w:firstLineChars="150" w:firstLine="360"/>
        <w:rPr>
          <w:rFonts w:eastAsiaTheme="minorEastAsia" w:hAnsiTheme="minorEastAsia"/>
          <w:sz w:val="24"/>
        </w:rPr>
      </w:pPr>
      <w:r>
        <w:rPr>
          <w:rFonts w:eastAsiaTheme="minorEastAsia" w:hAnsiTheme="minorEastAsia" w:hint="eastAsia"/>
          <w:sz w:val="24"/>
        </w:rPr>
        <w:t>（</w:t>
      </w:r>
      <w:r>
        <w:rPr>
          <w:rFonts w:eastAsiaTheme="minorEastAsia" w:hAnsiTheme="minorEastAsia" w:hint="eastAsia"/>
          <w:sz w:val="24"/>
        </w:rPr>
        <w:t>1</w:t>
      </w:r>
      <w:r>
        <w:rPr>
          <w:rFonts w:eastAsiaTheme="minorEastAsia" w:hAnsiTheme="minorEastAsia" w:hint="eastAsia"/>
          <w:sz w:val="24"/>
        </w:rPr>
        <w:t>）导师互选</w:t>
      </w:r>
    </w:p>
    <w:p w:rsidR="00B96EDD" w:rsidRPr="00235968" w:rsidRDefault="00B96EDD" w:rsidP="00B96EDD">
      <w:pPr>
        <w:tabs>
          <w:tab w:val="right" w:pos="900"/>
        </w:tabs>
        <w:snapToGrid w:val="0"/>
        <w:spacing w:line="360" w:lineRule="auto"/>
        <w:ind w:firstLineChars="150" w:firstLine="360"/>
        <w:rPr>
          <w:rFonts w:eastAsiaTheme="minorEastAsia" w:hAnsiTheme="minorEastAsia"/>
          <w:sz w:val="24"/>
        </w:rPr>
      </w:pPr>
      <w:r w:rsidRPr="00847D85">
        <w:rPr>
          <w:rFonts w:eastAsiaTheme="minorEastAsia" w:hAnsiTheme="minorEastAsia"/>
          <w:sz w:val="24"/>
        </w:rPr>
        <w:t>硕士生入学后三个月内进行师生双向互选，确定培养计划，导师负责全部培养工作。</w:t>
      </w:r>
      <w:r w:rsidRPr="00847D85">
        <w:rPr>
          <w:rFonts w:eastAsiaTheme="minorEastAsia" w:hAnsiTheme="minorEastAsia"/>
          <w:sz w:val="24"/>
        </w:rPr>
        <w:br/>
      </w:r>
      <w:r>
        <w:rPr>
          <w:rFonts w:eastAsiaTheme="minorEastAsia" w:hAnsiTheme="minorEastAsia" w:hint="eastAsia"/>
          <w:sz w:val="24"/>
        </w:rPr>
        <w:t xml:space="preserve">   </w:t>
      </w:r>
      <w:r w:rsidRPr="00847D85">
        <w:rPr>
          <w:rFonts w:eastAsiaTheme="minorEastAsia" w:hAnsiTheme="minorEastAsia"/>
          <w:sz w:val="24"/>
        </w:rPr>
        <w:t>（</w:t>
      </w:r>
      <w:r w:rsidRPr="00847D85">
        <w:rPr>
          <w:rFonts w:eastAsiaTheme="minorEastAsia" w:hAnsiTheme="minorEastAsia"/>
          <w:sz w:val="24"/>
        </w:rPr>
        <w:t>2</w:t>
      </w:r>
      <w:r w:rsidRPr="00847D85">
        <w:rPr>
          <w:rFonts w:eastAsiaTheme="minorEastAsia" w:hAnsiTheme="minorEastAsia"/>
          <w:sz w:val="24"/>
        </w:rPr>
        <w:t>）</w:t>
      </w:r>
      <w:r w:rsidRPr="00235968">
        <w:rPr>
          <w:rFonts w:eastAsiaTheme="minorEastAsia" w:hAnsiTheme="minorEastAsia" w:hint="eastAsia"/>
          <w:sz w:val="24"/>
        </w:rPr>
        <w:t>硕士生中期考核：</w:t>
      </w:r>
      <w:r w:rsidRPr="00235968">
        <w:rPr>
          <w:rFonts w:hAnsi="宋体" w:hint="eastAsia"/>
          <w:sz w:val="24"/>
        </w:rPr>
        <w:t>硕士生在完成课程学习、实验室工作开展顺利的前提下可申请中期考核。同一专业方向同一录取时间的学生应同时进行中期考核（在职攻读生延迟考核需提出申请）。</w:t>
      </w:r>
      <w:r w:rsidRPr="00235968">
        <w:rPr>
          <w:rFonts w:eastAsiaTheme="minorEastAsia" w:hAnsiTheme="minorEastAsia" w:hint="eastAsia"/>
          <w:sz w:val="24"/>
        </w:rPr>
        <w:t>一般在</w:t>
      </w:r>
      <w:r w:rsidRPr="00235968">
        <w:rPr>
          <w:rFonts w:hAnsi="宋体" w:hint="eastAsia"/>
          <w:sz w:val="24"/>
        </w:rPr>
        <w:t>入学</w:t>
      </w:r>
      <w:r w:rsidRPr="00235968">
        <w:rPr>
          <w:rFonts w:hAnsi="宋体" w:hint="eastAsia"/>
          <w:sz w:val="24"/>
        </w:rPr>
        <w:t>1</w:t>
      </w:r>
      <w:r w:rsidRPr="00235968">
        <w:rPr>
          <w:rFonts w:hAnsi="宋体" w:hint="eastAsia"/>
          <w:sz w:val="24"/>
        </w:rPr>
        <w:t>年后，每年</w:t>
      </w:r>
      <w:r w:rsidRPr="00235968">
        <w:rPr>
          <w:rFonts w:hAnsi="宋体" w:hint="eastAsia"/>
          <w:sz w:val="24"/>
        </w:rPr>
        <w:t>12</w:t>
      </w:r>
      <w:r w:rsidRPr="00235968">
        <w:rPr>
          <w:rFonts w:hAnsi="宋体" w:hint="eastAsia"/>
          <w:sz w:val="24"/>
        </w:rPr>
        <w:t>月</w:t>
      </w:r>
      <w:r w:rsidRPr="00235968">
        <w:rPr>
          <w:rFonts w:hAnsi="宋体" w:hint="eastAsia"/>
          <w:sz w:val="24"/>
        </w:rPr>
        <w:t>10-20</w:t>
      </w:r>
      <w:r w:rsidRPr="00235968">
        <w:rPr>
          <w:rFonts w:hAnsi="宋体" w:hint="eastAsia"/>
          <w:sz w:val="24"/>
        </w:rPr>
        <w:t>号举行。中期考核以开题报告为核心，包括</w:t>
      </w:r>
      <w:r w:rsidRPr="00235968">
        <w:rPr>
          <w:rFonts w:eastAsiaTheme="minorEastAsia" w:hAnsiTheme="minorEastAsia" w:hint="eastAsia"/>
          <w:sz w:val="24"/>
        </w:rPr>
        <w:t>12</w:t>
      </w:r>
      <w:r w:rsidRPr="00235968">
        <w:rPr>
          <w:rFonts w:eastAsiaTheme="minorEastAsia" w:hAnsiTheme="minorEastAsia" w:hint="eastAsia"/>
          <w:sz w:val="24"/>
        </w:rPr>
        <w:t>分钟开题汇报</w:t>
      </w:r>
      <w:r w:rsidRPr="00235968">
        <w:rPr>
          <w:rFonts w:hAnsi="宋体" w:hint="eastAsia"/>
          <w:sz w:val="24"/>
        </w:rPr>
        <w:t>，</w:t>
      </w:r>
      <w:r w:rsidRPr="00235968">
        <w:rPr>
          <w:rFonts w:hAnsi="宋体" w:hint="eastAsia"/>
          <w:sz w:val="24"/>
        </w:rPr>
        <w:t>10</w:t>
      </w:r>
      <w:r w:rsidRPr="00235968">
        <w:rPr>
          <w:rFonts w:hAnsi="宋体" w:hint="eastAsia"/>
          <w:sz w:val="24"/>
        </w:rPr>
        <w:t>分钟答辩。副教授以上人员打分，在充分讨论的前提下分别给予考核成绩，最终成绩取平均值。成绩低于</w:t>
      </w:r>
      <w:r w:rsidRPr="00235968">
        <w:rPr>
          <w:rFonts w:hAnsi="宋体" w:hint="eastAsia"/>
          <w:sz w:val="24"/>
        </w:rPr>
        <w:t>75</w:t>
      </w:r>
      <w:r w:rsidRPr="00235968">
        <w:rPr>
          <w:rFonts w:hAnsi="宋体" w:hint="eastAsia"/>
          <w:sz w:val="24"/>
        </w:rPr>
        <w:t>分者不合格，延期进行考核，将在</w:t>
      </w:r>
      <w:r w:rsidRPr="00235968">
        <w:rPr>
          <w:rFonts w:hAnsi="宋体" w:hint="eastAsia"/>
          <w:sz w:val="24"/>
        </w:rPr>
        <w:t>3-6</w:t>
      </w:r>
      <w:r w:rsidRPr="00235968">
        <w:rPr>
          <w:rFonts w:hAnsi="宋体" w:hint="eastAsia"/>
          <w:sz w:val="24"/>
        </w:rPr>
        <w:t>个月后重新进行中期考核。</w:t>
      </w:r>
    </w:p>
    <w:p w:rsidR="00B96EDD" w:rsidRPr="005F48FA" w:rsidRDefault="00B96EDD" w:rsidP="00B96EDD">
      <w:pPr>
        <w:tabs>
          <w:tab w:val="left" w:pos="851"/>
        </w:tabs>
        <w:snapToGrid w:val="0"/>
        <w:spacing w:line="360" w:lineRule="auto"/>
        <w:rPr>
          <w:rFonts w:asciiTheme="majorEastAsia" w:eastAsiaTheme="majorEastAsia" w:hAnsiTheme="majorEastAsia"/>
          <w:sz w:val="24"/>
          <w:szCs w:val="24"/>
        </w:rPr>
      </w:pPr>
      <w:r w:rsidRPr="00235968">
        <w:rPr>
          <w:rFonts w:eastAsiaTheme="minorEastAsia" w:hAnsiTheme="minorEastAsia" w:hint="eastAsia"/>
          <w:sz w:val="24"/>
        </w:rPr>
        <w:t xml:space="preserve">  </w:t>
      </w:r>
      <w:r w:rsidRPr="005F48FA">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3</w:t>
      </w:r>
      <w:r w:rsidRPr="005F48FA">
        <w:rPr>
          <w:rFonts w:asciiTheme="majorEastAsia" w:eastAsiaTheme="majorEastAsia" w:hAnsiTheme="majorEastAsia" w:hint="eastAsia"/>
          <w:sz w:val="24"/>
          <w:szCs w:val="24"/>
        </w:rPr>
        <w:t>）硕士学位论文</w:t>
      </w:r>
    </w:p>
    <w:p w:rsidR="00B96EDD" w:rsidRPr="005F48FA" w:rsidRDefault="00B96EDD" w:rsidP="00B96EDD">
      <w:pPr>
        <w:tabs>
          <w:tab w:val="left" w:pos="851"/>
        </w:tabs>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科学研究是研究生培养的重要组成部分，是培养创新能力的途径，是提高研究生培养质量的关键环节。学位论文的选题应体现本学科领域的前沿性和先进性，要与导师的科研任务相结合，与国家社会经济发展的需求相结合。鼓励研究生在导师指导下，通过阅读文献资料，自主选题 。</w:t>
      </w:r>
      <w:r w:rsidRPr="005F48FA">
        <w:rPr>
          <w:rFonts w:asciiTheme="majorEastAsia" w:eastAsiaTheme="majorEastAsia" w:hAnsiTheme="majorEastAsia"/>
          <w:sz w:val="24"/>
          <w:szCs w:val="24"/>
        </w:rPr>
        <w:br/>
      </w:r>
      <w:r w:rsidRPr="005F48FA">
        <w:rPr>
          <w:rFonts w:asciiTheme="majorEastAsia" w:eastAsiaTheme="majorEastAsia" w:hAnsiTheme="majorEastAsia" w:hint="eastAsia"/>
          <w:sz w:val="24"/>
          <w:szCs w:val="24"/>
        </w:rPr>
        <w:t xml:space="preserve">   </w:t>
      </w:r>
      <w:r w:rsidRPr="005F48FA">
        <w:rPr>
          <w:rFonts w:asciiTheme="majorEastAsia" w:eastAsiaTheme="majorEastAsia" w:hAnsiTheme="majorEastAsia"/>
          <w:sz w:val="24"/>
          <w:szCs w:val="24"/>
        </w:rPr>
        <w:t>论文工作必须在导师的指导下，由研究生独立完成，应注意培养研究生的文献查阅能力、实验能力、数据分析与处理能力等。</w:t>
      </w:r>
    </w:p>
    <w:p w:rsidR="00B96EDD" w:rsidRPr="00071C0E" w:rsidRDefault="00B96EDD" w:rsidP="00B96EDD">
      <w:pPr>
        <w:snapToGrid w:val="0"/>
        <w:spacing w:line="360" w:lineRule="auto"/>
        <w:ind w:firstLineChars="200" w:firstLine="480"/>
        <w:rPr>
          <w:rFonts w:asciiTheme="majorEastAsia" w:eastAsiaTheme="majorEastAsia" w:hAnsiTheme="majorEastAsia"/>
          <w:sz w:val="24"/>
          <w:szCs w:val="24"/>
        </w:rPr>
      </w:pPr>
      <w:r w:rsidRPr="00071C0E">
        <w:rPr>
          <w:rFonts w:ascii="宋体" w:hAnsi="宋体" w:hint="eastAsia"/>
          <w:sz w:val="24"/>
          <w:szCs w:val="24"/>
        </w:rPr>
        <w:t>硕士学位论文委托</w:t>
      </w:r>
      <w:r w:rsidRPr="00071C0E">
        <w:rPr>
          <w:rFonts w:ascii="宋体" w:hAnsi="宋体"/>
          <w:sz w:val="24"/>
          <w:szCs w:val="24"/>
        </w:rPr>
        <w:t>PI</w:t>
      </w:r>
      <w:r w:rsidRPr="00071C0E">
        <w:rPr>
          <w:rFonts w:ascii="宋体" w:hAnsi="宋体" w:hint="eastAsia"/>
          <w:sz w:val="24"/>
          <w:szCs w:val="24"/>
        </w:rPr>
        <w:t>组织在团队内进行预答辩，</w:t>
      </w:r>
      <w:r w:rsidRPr="00071C0E">
        <w:rPr>
          <w:rFonts w:ascii="宋体" w:hAnsi="宋体"/>
          <w:sz w:val="24"/>
          <w:szCs w:val="24"/>
        </w:rPr>
        <w:t>PI</w:t>
      </w:r>
      <w:r w:rsidRPr="00071C0E">
        <w:rPr>
          <w:rFonts w:ascii="宋体" w:hAnsi="宋体" w:hint="eastAsia"/>
          <w:sz w:val="24"/>
          <w:szCs w:val="24"/>
        </w:rPr>
        <w:t>对硕士论文进行把关，</w:t>
      </w:r>
      <w:r w:rsidRPr="00071C0E">
        <w:rPr>
          <w:rFonts w:ascii="宋体" w:hAnsi="宋体" w:hint="eastAsia"/>
          <w:sz w:val="24"/>
          <w:szCs w:val="24"/>
        </w:rPr>
        <w:lastRenderedPageBreak/>
        <w:t>没有进行预答辩的不能进入论文送审阶段。</w:t>
      </w:r>
    </w:p>
    <w:p w:rsidR="00B96EDD" w:rsidRPr="005F48FA" w:rsidRDefault="00B96EDD" w:rsidP="00B96EDD">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硕士学位论文实行盲审制度。研究生必须在答辩前一个半月递交毕业论文。盲审硕士论文送审两份，如果送审评议结果有一份不合格，经院学位委员会确认达不到学位论文要求，学生将延期一年再递交论文盲审通过后答辩；如果评议结果中有修改后再送审要求，学生将延期半年再递交论文盲审通过后方可答辩。</w:t>
      </w:r>
    </w:p>
    <w:p w:rsidR="00B96EDD" w:rsidRPr="005F48FA" w:rsidRDefault="00B96EDD" w:rsidP="00B96EDD">
      <w:pPr>
        <w:tabs>
          <w:tab w:val="right" w:pos="900"/>
          <w:tab w:val="left" w:pos="1080"/>
        </w:tabs>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硕士学位论文答辩委员会以具有高级专业技术职务的专家共三人组成，其中教授或相当专业技术职务的专家至少有一人，导师不参加答辩委员会。</w:t>
      </w:r>
    </w:p>
    <w:p w:rsidR="00B96EDD" w:rsidRDefault="00B96EDD" w:rsidP="00B96EDD">
      <w:pPr>
        <w:snapToGrid w:val="0"/>
        <w:spacing w:line="360" w:lineRule="auto"/>
        <w:rPr>
          <w:rFonts w:ascii="黑体" w:eastAsia="黑体" w:hAnsi="黑体"/>
          <w:b/>
          <w:sz w:val="30"/>
        </w:rPr>
      </w:pPr>
      <w:r>
        <w:rPr>
          <w:rFonts w:ascii="黑体" w:eastAsia="黑体" w:hAnsi="黑体" w:hint="eastAsia"/>
          <w:sz w:val="30"/>
        </w:rPr>
        <w:t>七</w:t>
      </w:r>
      <w:r w:rsidRPr="005F48FA">
        <w:rPr>
          <w:rFonts w:ascii="黑体" w:eastAsia="黑体" w:hAnsi="黑体"/>
          <w:sz w:val="30"/>
        </w:rPr>
        <w:t>、答辩和学位授予</w:t>
      </w:r>
    </w:p>
    <w:p w:rsidR="00B96EDD" w:rsidRDefault="00B96EDD" w:rsidP="00B96EDD">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sz w:val="24"/>
          <w:szCs w:val="24"/>
        </w:rPr>
        <w:t>学生答辩后由院学位评定委员会对通过论文评阅和答辩者进行严格审核后，上报校学位评定委员会，经批准可授予</w:t>
      </w:r>
      <w:r>
        <w:rPr>
          <w:rFonts w:asciiTheme="majorEastAsia" w:eastAsiaTheme="majorEastAsia" w:hAnsiTheme="majorEastAsia"/>
          <w:sz w:val="24"/>
          <w:szCs w:val="24"/>
        </w:rPr>
        <w:t>理学</w:t>
      </w:r>
      <w:r w:rsidRPr="005F48FA">
        <w:rPr>
          <w:rFonts w:asciiTheme="majorEastAsia" w:eastAsiaTheme="majorEastAsia" w:hAnsiTheme="majorEastAsia"/>
          <w:sz w:val="24"/>
          <w:szCs w:val="24"/>
        </w:rPr>
        <w:t>硕士学位。</w:t>
      </w:r>
    </w:p>
    <w:p w:rsidR="007F5CC0" w:rsidRPr="007F5CC0" w:rsidRDefault="00A951BA" w:rsidP="00B96EDD">
      <w:pPr>
        <w:tabs>
          <w:tab w:val="right" w:pos="900"/>
        </w:tabs>
        <w:snapToGrid w:val="0"/>
        <w:spacing w:line="360" w:lineRule="auto"/>
        <w:ind w:right="-3420"/>
        <w:rPr>
          <w:rFonts w:eastAsiaTheme="majorEastAsia"/>
        </w:rPr>
      </w:pPr>
      <w:r w:rsidRPr="005F48FA">
        <w:rPr>
          <w:rFonts w:asciiTheme="majorEastAsia" w:eastAsiaTheme="majorEastAsia" w:hAnsiTheme="majorEastAsia"/>
          <w:sz w:val="24"/>
          <w:szCs w:val="24"/>
        </w:rPr>
        <w:br/>
      </w:r>
    </w:p>
    <w:sectPr w:rsidR="007F5CC0" w:rsidRPr="007F5CC0" w:rsidSect="001870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01E" w:rsidRDefault="0086001E" w:rsidP="005B57A6">
      <w:r>
        <w:separator/>
      </w:r>
    </w:p>
  </w:endnote>
  <w:endnote w:type="continuationSeparator" w:id="1">
    <w:p w:rsidR="0086001E" w:rsidRDefault="0086001E" w:rsidP="005B5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01E" w:rsidRDefault="0086001E" w:rsidP="005B57A6">
      <w:r>
        <w:separator/>
      </w:r>
    </w:p>
  </w:footnote>
  <w:footnote w:type="continuationSeparator" w:id="1">
    <w:p w:rsidR="0086001E" w:rsidRDefault="0086001E" w:rsidP="005B57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51FD"/>
    <w:multiLevelType w:val="multilevel"/>
    <w:tmpl w:val="0BD651FD"/>
    <w:lvl w:ilvl="0">
      <w:start w:val="1"/>
      <w:numFmt w:val="decimal"/>
      <w:lvlText w:val="（%1）"/>
      <w:lvlJc w:val="left"/>
      <w:pPr>
        <w:tabs>
          <w:tab w:val="num" w:pos="1260"/>
        </w:tabs>
        <w:ind w:left="1260" w:hanging="72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nsid w:val="0E29711D"/>
    <w:multiLevelType w:val="singleLevel"/>
    <w:tmpl w:val="0E29711D"/>
    <w:lvl w:ilvl="0">
      <w:start w:val="1"/>
      <w:numFmt w:val="decimal"/>
      <w:lvlText w:val="（%1）"/>
      <w:lvlJc w:val="left"/>
      <w:pPr>
        <w:tabs>
          <w:tab w:val="num" w:pos="600"/>
        </w:tabs>
        <w:ind w:left="600" w:hanging="600"/>
      </w:pPr>
      <w:rPr>
        <w:rFonts w:hint="eastAsia"/>
      </w:rPr>
    </w:lvl>
  </w:abstractNum>
  <w:abstractNum w:abstractNumId="2">
    <w:nsid w:val="30A0319E"/>
    <w:multiLevelType w:val="multilevel"/>
    <w:tmpl w:val="0409001D"/>
    <w:lvl w:ilvl="0">
      <w:start w:val="1"/>
      <w:numFmt w:val="decimal"/>
      <w:lvlText w:val="%1"/>
      <w:lvlJc w:val="left"/>
      <w:pPr>
        <w:tabs>
          <w:tab w:val="num" w:pos="845"/>
        </w:tabs>
        <w:ind w:left="845" w:hanging="425"/>
      </w:pPr>
    </w:lvl>
    <w:lvl w:ilvl="1">
      <w:start w:val="1"/>
      <w:numFmt w:val="decimal"/>
      <w:lvlText w:val="%1.%2"/>
      <w:lvlJc w:val="left"/>
      <w:pPr>
        <w:tabs>
          <w:tab w:val="num" w:pos="1412"/>
        </w:tabs>
        <w:ind w:left="1412" w:hanging="567"/>
      </w:pPr>
    </w:lvl>
    <w:lvl w:ilvl="2">
      <w:start w:val="1"/>
      <w:numFmt w:val="decimal"/>
      <w:lvlText w:val="%1.%2.%3"/>
      <w:lvlJc w:val="left"/>
      <w:pPr>
        <w:tabs>
          <w:tab w:val="num" w:pos="1838"/>
        </w:tabs>
        <w:ind w:left="1838" w:hanging="567"/>
      </w:pPr>
    </w:lvl>
    <w:lvl w:ilvl="3">
      <w:start w:val="1"/>
      <w:numFmt w:val="decimal"/>
      <w:lvlText w:val="%1.%2.%3.%4"/>
      <w:lvlJc w:val="left"/>
      <w:pPr>
        <w:tabs>
          <w:tab w:val="num" w:pos="2776"/>
        </w:tabs>
        <w:ind w:left="2404" w:hanging="708"/>
      </w:pPr>
    </w:lvl>
    <w:lvl w:ilvl="4">
      <w:start w:val="1"/>
      <w:numFmt w:val="decimal"/>
      <w:lvlText w:val="%1.%2.%3.%4.%5"/>
      <w:lvlJc w:val="left"/>
      <w:pPr>
        <w:tabs>
          <w:tab w:val="num" w:pos="3201"/>
        </w:tabs>
        <w:ind w:left="2971" w:hanging="850"/>
      </w:pPr>
    </w:lvl>
    <w:lvl w:ilvl="5">
      <w:start w:val="1"/>
      <w:numFmt w:val="decimal"/>
      <w:lvlText w:val="%1.%2.%3.%4.%5.%6"/>
      <w:lvlJc w:val="left"/>
      <w:pPr>
        <w:tabs>
          <w:tab w:val="num" w:pos="3680"/>
        </w:tabs>
        <w:ind w:left="3680" w:hanging="1134"/>
      </w:pPr>
    </w:lvl>
    <w:lvl w:ilvl="6">
      <w:start w:val="1"/>
      <w:numFmt w:val="decimal"/>
      <w:lvlText w:val="%1.%2.%3.%4.%5.%6.%7"/>
      <w:lvlJc w:val="left"/>
      <w:pPr>
        <w:tabs>
          <w:tab w:val="num" w:pos="4411"/>
        </w:tabs>
        <w:ind w:left="4247" w:hanging="1276"/>
      </w:pPr>
    </w:lvl>
    <w:lvl w:ilvl="7">
      <w:start w:val="1"/>
      <w:numFmt w:val="decimal"/>
      <w:lvlText w:val="%1.%2.%3.%4.%5.%6.%7.%8"/>
      <w:lvlJc w:val="left"/>
      <w:pPr>
        <w:tabs>
          <w:tab w:val="num" w:pos="5196"/>
        </w:tabs>
        <w:ind w:left="4814" w:hanging="1418"/>
      </w:pPr>
    </w:lvl>
    <w:lvl w:ilvl="8">
      <w:start w:val="1"/>
      <w:numFmt w:val="decimal"/>
      <w:lvlText w:val="%1.%2.%3.%4.%5.%6.%7.%8.%9"/>
      <w:lvlJc w:val="left"/>
      <w:pPr>
        <w:tabs>
          <w:tab w:val="num" w:pos="5622"/>
        </w:tabs>
        <w:ind w:left="5522" w:hanging="1700"/>
      </w:pPr>
    </w:lvl>
  </w:abstractNum>
  <w:abstractNum w:abstractNumId="3">
    <w:nsid w:val="3AE6585C"/>
    <w:multiLevelType w:val="hybridMultilevel"/>
    <w:tmpl w:val="62688F32"/>
    <w:lvl w:ilvl="0" w:tplc="DDF6A256">
      <w:numFmt w:val="bullet"/>
      <w:lvlText w:val="·"/>
      <w:lvlJc w:val="left"/>
      <w:pPr>
        <w:ind w:left="1080" w:hanging="360"/>
      </w:pPr>
      <w:rPr>
        <w:rFonts w:ascii="宋体" w:eastAsia="宋体" w:hAnsi="宋体"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
    <w:nsid w:val="5CD64294"/>
    <w:multiLevelType w:val="multilevel"/>
    <w:tmpl w:val="5CD64294"/>
    <w:lvl w:ilvl="0">
      <w:start w:val="1"/>
      <w:numFmt w:val="japaneseCounting"/>
      <w:lvlText w:val="%1、"/>
      <w:lvlJc w:val="left"/>
      <w:pPr>
        <w:tabs>
          <w:tab w:val="num" w:pos="600"/>
        </w:tabs>
        <w:ind w:left="600" w:hanging="600"/>
      </w:pPr>
      <w:rPr>
        <w:rFonts w:hint="eastAsia"/>
        <w:sz w:val="3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01B3CC0"/>
    <w:multiLevelType w:val="multilevel"/>
    <w:tmpl w:val="601B3CC0"/>
    <w:lvl w:ilvl="0">
      <w:start w:val="1"/>
      <w:numFmt w:val="decimal"/>
      <w:lvlText w:val="%1."/>
      <w:lvlJc w:val="left"/>
      <w:pPr>
        <w:tabs>
          <w:tab w:val="left" w:pos="851"/>
        </w:tabs>
        <w:ind w:left="851" w:hanging="425"/>
      </w:pPr>
    </w:lvl>
    <w:lvl w:ilvl="1" w:tentative="1">
      <w:start w:val="1"/>
      <w:numFmt w:val="decimal"/>
      <w:lvlText w:val="%1.%2"/>
      <w:lvlJc w:val="left"/>
      <w:pPr>
        <w:tabs>
          <w:tab w:val="left" w:pos="1412"/>
        </w:tabs>
        <w:ind w:left="1412" w:hanging="567"/>
      </w:pPr>
    </w:lvl>
    <w:lvl w:ilvl="2" w:tentative="1">
      <w:start w:val="1"/>
      <w:numFmt w:val="decimal"/>
      <w:lvlText w:val="%1.%2.%3"/>
      <w:lvlJc w:val="left"/>
      <w:pPr>
        <w:tabs>
          <w:tab w:val="left" w:pos="1838"/>
        </w:tabs>
        <w:ind w:left="1838" w:hanging="567"/>
      </w:pPr>
    </w:lvl>
    <w:lvl w:ilvl="3" w:tentative="1">
      <w:start w:val="1"/>
      <w:numFmt w:val="decimal"/>
      <w:lvlText w:val="%1.%2.%3.%4"/>
      <w:lvlJc w:val="left"/>
      <w:pPr>
        <w:tabs>
          <w:tab w:val="left" w:pos="2776"/>
        </w:tabs>
        <w:ind w:left="2404" w:hanging="708"/>
      </w:pPr>
    </w:lvl>
    <w:lvl w:ilvl="4" w:tentative="1">
      <w:start w:val="1"/>
      <w:numFmt w:val="decimal"/>
      <w:lvlText w:val="%1.%2.%3.%4.%5"/>
      <w:lvlJc w:val="left"/>
      <w:pPr>
        <w:tabs>
          <w:tab w:val="left" w:pos="3201"/>
        </w:tabs>
        <w:ind w:left="2971" w:hanging="850"/>
      </w:pPr>
    </w:lvl>
    <w:lvl w:ilvl="5" w:tentative="1">
      <w:start w:val="1"/>
      <w:numFmt w:val="decimal"/>
      <w:lvlText w:val="%1.%2.%3.%4.%5.%6"/>
      <w:lvlJc w:val="left"/>
      <w:pPr>
        <w:tabs>
          <w:tab w:val="left" w:pos="3680"/>
        </w:tabs>
        <w:ind w:left="3680" w:hanging="1134"/>
      </w:pPr>
    </w:lvl>
    <w:lvl w:ilvl="6" w:tentative="1">
      <w:start w:val="1"/>
      <w:numFmt w:val="decimal"/>
      <w:lvlText w:val="%1.%2.%3.%4.%5.%6.%7"/>
      <w:lvlJc w:val="left"/>
      <w:pPr>
        <w:tabs>
          <w:tab w:val="left" w:pos="4411"/>
        </w:tabs>
        <w:ind w:left="4247" w:hanging="1276"/>
      </w:pPr>
    </w:lvl>
    <w:lvl w:ilvl="7" w:tentative="1">
      <w:start w:val="1"/>
      <w:numFmt w:val="decimal"/>
      <w:lvlText w:val="%1.%2.%3.%4.%5.%6.%7.%8"/>
      <w:lvlJc w:val="left"/>
      <w:pPr>
        <w:tabs>
          <w:tab w:val="left" w:pos="5196"/>
        </w:tabs>
        <w:ind w:left="4814" w:hanging="1418"/>
      </w:pPr>
    </w:lvl>
    <w:lvl w:ilvl="8" w:tentative="1">
      <w:start w:val="1"/>
      <w:numFmt w:val="decimal"/>
      <w:lvlText w:val="%1.%2.%3.%4.%5.%6.%7.%8.%9"/>
      <w:lvlJc w:val="left"/>
      <w:pPr>
        <w:tabs>
          <w:tab w:val="left" w:pos="5622"/>
        </w:tabs>
        <w:ind w:left="5522" w:hanging="1700"/>
      </w:pPr>
    </w:lvl>
  </w:abstractNum>
  <w:abstractNum w:abstractNumId="6">
    <w:nsid w:val="68F12ABB"/>
    <w:multiLevelType w:val="multilevel"/>
    <w:tmpl w:val="68F12ABB"/>
    <w:lvl w:ilvl="0">
      <w:start w:val="1"/>
      <w:numFmt w:val="decimal"/>
      <w:lvlText w:val="（%1）"/>
      <w:lvlJc w:val="left"/>
      <w:pPr>
        <w:tabs>
          <w:tab w:val="num" w:pos="1260"/>
        </w:tabs>
        <w:ind w:left="1260" w:hanging="72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7">
    <w:nsid w:val="6E894F90"/>
    <w:multiLevelType w:val="singleLevel"/>
    <w:tmpl w:val="6E894F90"/>
    <w:lvl w:ilvl="0">
      <w:start w:val="1"/>
      <w:numFmt w:val="decimal"/>
      <w:lvlText w:val="%1."/>
      <w:lvlJc w:val="left"/>
      <w:pPr>
        <w:tabs>
          <w:tab w:val="num" w:pos="360"/>
        </w:tabs>
        <w:ind w:left="360" w:hanging="360"/>
      </w:pPr>
      <w:rPr>
        <w:rFonts w:hint="eastAsia"/>
      </w:rPr>
    </w:lvl>
  </w:abstractNum>
  <w:abstractNum w:abstractNumId="8">
    <w:nsid w:val="73E1445C"/>
    <w:multiLevelType w:val="multilevel"/>
    <w:tmpl w:val="73E1445C"/>
    <w:lvl w:ilvl="0">
      <w:start w:val="1"/>
      <w:numFmt w:val="decimal"/>
      <w:lvlText w:val="%1."/>
      <w:lvlJc w:val="left"/>
      <w:pPr>
        <w:tabs>
          <w:tab w:val="left" w:pos="851"/>
        </w:tabs>
        <w:ind w:left="851" w:hanging="425"/>
      </w:pPr>
    </w:lvl>
    <w:lvl w:ilvl="1" w:tentative="1">
      <w:start w:val="1"/>
      <w:numFmt w:val="decimal"/>
      <w:lvlText w:val="%1.%2"/>
      <w:lvlJc w:val="left"/>
      <w:pPr>
        <w:tabs>
          <w:tab w:val="left" w:pos="1412"/>
        </w:tabs>
        <w:ind w:left="1412" w:hanging="567"/>
      </w:pPr>
    </w:lvl>
    <w:lvl w:ilvl="2" w:tentative="1">
      <w:start w:val="1"/>
      <w:numFmt w:val="decimal"/>
      <w:lvlText w:val="%1.%2.%3"/>
      <w:lvlJc w:val="left"/>
      <w:pPr>
        <w:tabs>
          <w:tab w:val="left" w:pos="1838"/>
        </w:tabs>
        <w:ind w:left="1838" w:hanging="567"/>
      </w:pPr>
    </w:lvl>
    <w:lvl w:ilvl="3" w:tentative="1">
      <w:start w:val="1"/>
      <w:numFmt w:val="decimal"/>
      <w:lvlText w:val="%1.%2.%3.%4"/>
      <w:lvlJc w:val="left"/>
      <w:pPr>
        <w:tabs>
          <w:tab w:val="left" w:pos="2776"/>
        </w:tabs>
        <w:ind w:left="2404" w:hanging="708"/>
      </w:pPr>
    </w:lvl>
    <w:lvl w:ilvl="4" w:tentative="1">
      <w:start w:val="1"/>
      <w:numFmt w:val="decimal"/>
      <w:lvlText w:val="%1.%2.%3.%4.%5"/>
      <w:lvlJc w:val="left"/>
      <w:pPr>
        <w:tabs>
          <w:tab w:val="left" w:pos="3201"/>
        </w:tabs>
        <w:ind w:left="2971" w:hanging="850"/>
      </w:pPr>
    </w:lvl>
    <w:lvl w:ilvl="5" w:tentative="1">
      <w:start w:val="1"/>
      <w:numFmt w:val="decimal"/>
      <w:lvlText w:val="%1.%2.%3.%4.%5.%6"/>
      <w:lvlJc w:val="left"/>
      <w:pPr>
        <w:tabs>
          <w:tab w:val="left" w:pos="3680"/>
        </w:tabs>
        <w:ind w:left="3680" w:hanging="1134"/>
      </w:pPr>
    </w:lvl>
    <w:lvl w:ilvl="6" w:tentative="1">
      <w:start w:val="1"/>
      <w:numFmt w:val="decimal"/>
      <w:lvlText w:val="%1.%2.%3.%4.%5.%6.%7"/>
      <w:lvlJc w:val="left"/>
      <w:pPr>
        <w:tabs>
          <w:tab w:val="left" w:pos="4411"/>
        </w:tabs>
        <w:ind w:left="4247" w:hanging="1276"/>
      </w:pPr>
    </w:lvl>
    <w:lvl w:ilvl="7" w:tentative="1">
      <w:start w:val="1"/>
      <w:numFmt w:val="decimal"/>
      <w:lvlText w:val="%1.%2.%3.%4.%5.%6.%7.%8"/>
      <w:lvlJc w:val="left"/>
      <w:pPr>
        <w:tabs>
          <w:tab w:val="left" w:pos="5196"/>
        </w:tabs>
        <w:ind w:left="4814" w:hanging="1418"/>
      </w:pPr>
    </w:lvl>
    <w:lvl w:ilvl="8" w:tentative="1">
      <w:start w:val="1"/>
      <w:numFmt w:val="decimal"/>
      <w:lvlText w:val="%1.%2.%3.%4.%5.%6.%7.%8.%9"/>
      <w:lvlJc w:val="left"/>
      <w:pPr>
        <w:tabs>
          <w:tab w:val="left" w:pos="5622"/>
        </w:tabs>
        <w:ind w:left="5522" w:hanging="1700"/>
      </w:pPr>
    </w:lvl>
  </w:abstractNum>
  <w:num w:numId="1">
    <w:abstractNumId w:val="4"/>
  </w:num>
  <w:num w:numId="2">
    <w:abstractNumId w:val="7"/>
  </w:num>
  <w:num w:numId="3">
    <w:abstractNumId w:val="6"/>
  </w:num>
  <w:num w:numId="4">
    <w:abstractNumId w:val="0"/>
  </w:num>
  <w:num w:numId="5">
    <w:abstractNumId w:val="1"/>
  </w:num>
  <w:num w:numId="6">
    <w:abstractNumId w:val="2"/>
  </w:num>
  <w:num w:numId="7">
    <w:abstractNumId w:val="8"/>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50A4"/>
    <w:rsid w:val="000151BF"/>
    <w:rsid w:val="00046BD6"/>
    <w:rsid w:val="00062653"/>
    <w:rsid w:val="00065027"/>
    <w:rsid w:val="00075A36"/>
    <w:rsid w:val="000B6DD4"/>
    <w:rsid w:val="000F2A3E"/>
    <w:rsid w:val="00164564"/>
    <w:rsid w:val="00187029"/>
    <w:rsid w:val="001B42DF"/>
    <w:rsid w:val="00235968"/>
    <w:rsid w:val="002B12CC"/>
    <w:rsid w:val="002C26F7"/>
    <w:rsid w:val="002E6F22"/>
    <w:rsid w:val="00303678"/>
    <w:rsid w:val="00333917"/>
    <w:rsid w:val="003C32A8"/>
    <w:rsid w:val="003D44BC"/>
    <w:rsid w:val="003E2227"/>
    <w:rsid w:val="00415BB9"/>
    <w:rsid w:val="00437657"/>
    <w:rsid w:val="004549A8"/>
    <w:rsid w:val="00475E87"/>
    <w:rsid w:val="00496335"/>
    <w:rsid w:val="00527F3D"/>
    <w:rsid w:val="005A3AE7"/>
    <w:rsid w:val="005A5185"/>
    <w:rsid w:val="005B57A6"/>
    <w:rsid w:val="005D1EAF"/>
    <w:rsid w:val="005E0773"/>
    <w:rsid w:val="005F48FA"/>
    <w:rsid w:val="0060197C"/>
    <w:rsid w:val="006A4212"/>
    <w:rsid w:val="006D5893"/>
    <w:rsid w:val="00704D57"/>
    <w:rsid w:val="007057B5"/>
    <w:rsid w:val="00710F50"/>
    <w:rsid w:val="00711CD4"/>
    <w:rsid w:val="00740573"/>
    <w:rsid w:val="00760C6D"/>
    <w:rsid w:val="007618E4"/>
    <w:rsid w:val="007B3C92"/>
    <w:rsid w:val="007D205E"/>
    <w:rsid w:val="007F5CC0"/>
    <w:rsid w:val="00810A22"/>
    <w:rsid w:val="00847D85"/>
    <w:rsid w:val="0086001E"/>
    <w:rsid w:val="00872A06"/>
    <w:rsid w:val="008B17D8"/>
    <w:rsid w:val="008D391F"/>
    <w:rsid w:val="009621C9"/>
    <w:rsid w:val="00990E6E"/>
    <w:rsid w:val="00A951BA"/>
    <w:rsid w:val="00AE39D1"/>
    <w:rsid w:val="00B61DBF"/>
    <w:rsid w:val="00B659E3"/>
    <w:rsid w:val="00B96EDD"/>
    <w:rsid w:val="00BB25C4"/>
    <w:rsid w:val="00BD50D7"/>
    <w:rsid w:val="00C1450D"/>
    <w:rsid w:val="00C16993"/>
    <w:rsid w:val="00C612FD"/>
    <w:rsid w:val="00C750A4"/>
    <w:rsid w:val="00CB5B57"/>
    <w:rsid w:val="00DB2F7F"/>
    <w:rsid w:val="00DC7D32"/>
    <w:rsid w:val="00DE19E3"/>
    <w:rsid w:val="00DF3EDF"/>
    <w:rsid w:val="00E63F8E"/>
    <w:rsid w:val="00E7394B"/>
    <w:rsid w:val="00ED0143"/>
    <w:rsid w:val="00EF6F5A"/>
    <w:rsid w:val="00F23C38"/>
    <w:rsid w:val="00FB78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0A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8E4"/>
    <w:pPr>
      <w:ind w:firstLineChars="200" w:firstLine="420"/>
    </w:pPr>
  </w:style>
  <w:style w:type="character" w:customStyle="1" w:styleId="style6">
    <w:name w:val="style6"/>
    <w:basedOn w:val="a0"/>
    <w:rsid w:val="00303678"/>
  </w:style>
  <w:style w:type="paragraph" w:styleId="a4">
    <w:name w:val="Normal (Web)"/>
    <w:basedOn w:val="a"/>
    <w:rsid w:val="00303678"/>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semiHidden/>
    <w:unhideWhenUsed/>
    <w:rsid w:val="005B57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B57A6"/>
    <w:rPr>
      <w:rFonts w:ascii="Times New Roman" w:eastAsia="宋体" w:hAnsi="Times New Roman" w:cs="Times New Roman"/>
      <w:sz w:val="18"/>
      <w:szCs w:val="18"/>
    </w:rPr>
  </w:style>
  <w:style w:type="paragraph" w:styleId="a6">
    <w:name w:val="footer"/>
    <w:basedOn w:val="a"/>
    <w:link w:val="Char0"/>
    <w:uiPriority w:val="99"/>
    <w:semiHidden/>
    <w:unhideWhenUsed/>
    <w:rsid w:val="005B57A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B57A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AF06-5644-41E0-93D2-44BE2123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LIQIN</dc:creator>
  <cp:lastModifiedBy>LIQIN</cp:lastModifiedBy>
  <cp:revision>10</cp:revision>
  <dcterms:created xsi:type="dcterms:W3CDTF">2016-07-07T08:07:00Z</dcterms:created>
  <dcterms:modified xsi:type="dcterms:W3CDTF">2016-07-08T01:47:00Z</dcterms:modified>
</cp:coreProperties>
</file>