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DA" w:rsidRPr="00CF5E1F" w:rsidRDefault="00CF5E1F" w:rsidP="00CF5E1F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表1：</w:t>
      </w:r>
      <w:r w:rsidR="00746103" w:rsidRPr="00CF5E1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独立申报项目入选名单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3"/>
        <w:gridCol w:w="1770"/>
        <w:gridCol w:w="1005"/>
        <w:gridCol w:w="4290"/>
        <w:gridCol w:w="982"/>
      </w:tblGrid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:rsidR="00EA2FDA" w:rsidRDefault="007461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执行期（月）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哲学系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王凯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明清苏北寺院碑志中的世俗世界研究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哲学系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王学谦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知识经济时代的科学困境研究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王紫绮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高铁建设与经济增长质量：基于城市群多中心空间结构视角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蒋欣娟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“双循环”新发展格局下中间产品再配置的创新效应研究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刘玥玥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CEO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创业导向与企业绩效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: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中层管理者认知的视角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朱頔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企业家调节焦点对新创企业国际化扩张的影响机制研究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1103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马克思主义</w:t>
            </w:r>
          </w:p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黄美笛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哈贝马斯的“批判认识论”批判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法学院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孙悦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有限责任公司内部纠纷解决机制建构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CXYJ21-09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政府管理学院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丁照攀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地方政府职能履行的任务逻辑研究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政府管理学院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曹新富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跨界流域治理的河长制模式研究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CXYJ21-11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政府管理学院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陶志刚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重大公共卫生危机治理中的</w:t>
            </w:r>
          </w:p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政府注意力研究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社会学院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龙芳芳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活动记忆训练提升情绪调节的可靠性及有效性研究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社会学院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杨修业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探究抑郁症的社会根源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文学院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徐璐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再塑工人——三十年代左翼文艺运动中的情感政治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文学院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高娜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从舞台“布景”到电影“置景”——民国电影美术发生研究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葛希建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场所精神与民族文化塑造：阿克罗伊德小说研究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张文倩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笑与控——果戈理的死亡诗学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张萌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动态系统视域下法律英语</w:t>
            </w:r>
          </w:p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词汇习得研究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CXYJ21-19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外国语学院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桂青云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罗伯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-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格里耶小说图像研究——文学图像的可感与可知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历史学院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撒海涛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蒙元时期关陇地区统治研究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历史学院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周嘉希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中美贸易战长期背景下的中日合作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新闻传播学院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刘天宇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重塑新生态：新闻生态系统视角下多元行动者的新闻创新实践研究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教育研究院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陆琪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U-S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协作活动对小学科学教师科学观</w:t>
            </w:r>
          </w:p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的影响研究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信息管理学院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张艺炜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大数据环境下领域知识生态系统</w:t>
            </w:r>
          </w:p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生长模式研究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工程管理学院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原逸超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供应链视角下考虑诱饵效应的消费提振策略研究——理论和实验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工程管理学院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赵楠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基于区块链的排污权交易研究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工程管理学院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刘颖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单程式共享电动汽车的车辆调度优化研究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物理学院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毛凯晖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磁电耦合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O22-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诱导在层状金属有机结构中的吸附及可调控释放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CXYJ21-29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物理学院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姚照千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介子与重子的半轻衰变研究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物理学院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王勇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电子驱动的原子协同扩散以及液液相变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物理学院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李启远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单层量子自旋霍尔材料的能带和结构表征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</w:tr>
      <w:tr w:rsidR="00EA2FDA">
        <w:trPr>
          <w:trHeight w:val="1838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电子科学与工程学院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刘霖枫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面向机器视觉的图像智能编码方法研究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电子科学与工程学院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巩贺贺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2kV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高耐压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Ga2O3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基功率二极管制备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庞玉博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锰催化的炔烃官能团化反应研究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高瑚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镍咔咯自由基的合成及芳香性调控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赵泽润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S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–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S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键的高效连续流合成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魏志弘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基于单分子光谱技术探究碳点发光动力学过程及机理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陈轶群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金属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-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氮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-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碳单位点催化剂的可控构建与电催化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CO2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还原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CXYJ21-39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万苏舒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基于钙钛矿晶体的全光学场效应管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环境学院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廖可薇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低温活性污泥系统溶解性有机氮产生机理及控制研究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环境学院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王鋙葶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二维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TiO2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基异质结光催化剂对多种抗生素降解性能及机理研究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天文与空间科学学院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杨雨涵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通用型高能卫星数据分析软件的开发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CXYJ21-43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地理与海洋科学学院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许文轩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基于中分遥感影像的亚马逊地区火扰动数据集研制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CXYJ21-44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地理与海洋科学学院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颜道浩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饮食结构转型的资源环境联合效应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CXYJ21-45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地理与海洋科学学院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林金煌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基于生态安全视角的苏南地区土地利用冲突诊断及优化配置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CXYJ21-46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地球科学与工程学院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韩贺鸣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滑坡大量程多参量光纤倾角计研发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CXYJ21-47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地球科学与工程学院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许文涛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地下实验室岩体结构面精细化识别及其渗透特性研究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CXYJ21-48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生命科学学院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许海恒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利用细菌负载抗原刺激抗肿瘤反应的研究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CXYJ21-49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生命科学学院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段成杰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DNA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纳米技术的阿尔茨海默病研究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CXYJ21-50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模式动物</w:t>
            </w:r>
          </w:p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研究所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毕慧茹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探究γ分泌酶对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OPCs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空间分布的调控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CXYJ21-51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计算机科学与技术系</w:t>
            </w:r>
          </w:p>
        </w:tc>
        <w:tc>
          <w:tcPr>
            <w:tcW w:w="1005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陈立庚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数据驱动的轻量级二进制编译信息恢复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CXYJ21-52</w:t>
            </w:r>
          </w:p>
        </w:tc>
        <w:tc>
          <w:tcPr>
            <w:tcW w:w="177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计算机科学与技术系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宁静仪</w:t>
            </w:r>
          </w:p>
        </w:tc>
        <w:tc>
          <w:tcPr>
            <w:tcW w:w="4290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基于摩尔纹的反向定位技术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周大蔚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复杂环境下的增量学习方法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郑智文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软件开发者的心流状态认知与软件工程应用技术研究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CXYJ21-55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庞成宾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转换测试：高效的结构化模糊测试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CXYJ21-56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计算机科学与技术系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黄伟聪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自组织量子网络协议及路由调度算法研究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CXYJ21-57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现代工程与应用科学学院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韩露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铁电斯格明子在硅基高密度储存器件中的应用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CXYJ21-58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现代工程与应用科学学院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王子阳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结合术中影像导航的多通道、多模态近红外荧光显微镜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CXYJ21-59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现代工程与应用科学学院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裴旭东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原子分辨冷冻扫描衍射单颗粒三维成像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曲俊星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热带念珠菌通过上调糖酵解产生乳酸促进结肠癌化疗抵抗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杨磊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TRAF3IP2-AS1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通过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5mC/m6A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影响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NONO-TFE3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肾癌的分子机制研究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郑力铭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镁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锶离子治疗退行性骨病的转化研究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魏敏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表达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 xml:space="preserve">TIGIT 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抗体的重组溶瘤痘苗病毒治疗恶性肿瘤及机制研究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医学院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蒲志军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一种抗血小板聚集新靶点的发现与转化探究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EA2FDA">
        <w:trPr>
          <w:trHeight w:val="585"/>
          <w:jc w:val="center"/>
        </w:trPr>
        <w:tc>
          <w:tcPr>
            <w:tcW w:w="1403" w:type="dxa"/>
            <w:shd w:val="clear" w:color="000000" w:fill="FFFFFF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CXYJ21-65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建筑与城市规划学院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王梓懿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长江经济带（江苏段）自然资源与生态环境协同治理研究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A2FDA" w:rsidRDefault="00746103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</w:tbl>
    <w:p w:rsidR="00EA2FDA" w:rsidRDefault="00EA2FDA">
      <w:pPr>
        <w:widowControl/>
        <w:jc w:val="center"/>
        <w:textAlignment w:val="center"/>
        <w:rPr>
          <w:rFonts w:eastAsia="等线" w:hAnsi="等线" w:cs="等线"/>
          <w:color w:val="000000"/>
          <w:kern w:val="0"/>
          <w:sz w:val="24"/>
          <w:szCs w:val="24"/>
          <w:lang/>
        </w:rPr>
      </w:pPr>
    </w:p>
    <w:p w:rsidR="00EA2FDA" w:rsidRDefault="00EA2FDA">
      <w:pPr>
        <w:widowControl/>
        <w:jc w:val="center"/>
        <w:textAlignment w:val="center"/>
        <w:rPr>
          <w:rFonts w:eastAsia="等线" w:hAnsi="等线" w:cs="等线"/>
          <w:color w:val="000000"/>
          <w:kern w:val="0"/>
          <w:sz w:val="24"/>
          <w:szCs w:val="24"/>
          <w:lang/>
        </w:rPr>
      </w:pPr>
    </w:p>
    <w:p w:rsidR="00CF5E1F" w:rsidRPr="00CF5E1F" w:rsidRDefault="00CF5E1F" w:rsidP="00CF5E1F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表2：</w:t>
      </w:r>
      <w:r w:rsidRPr="00CF5E1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跨学科联合申报项目入选名单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894"/>
        <w:gridCol w:w="973"/>
        <w:gridCol w:w="4346"/>
        <w:gridCol w:w="972"/>
      </w:tblGrid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项目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编号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院系名称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申请人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972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执行期（月）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CXYJ21-66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法学院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信息管理学院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谭建宏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王贵海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在线教育版权保护：现实困境、内在机理及法律规制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CXYJ21-67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政府管理学院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马克思主义学院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代佳朋黎华楠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从“人民”到“人民至上”——兼论欧陆行政学以来“人民”价值的嬗变与发展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CXYJ21-68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新闻传播学院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历史学院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吴静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韩璐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英国近代早期印刷媒介对法律知识的塑型机制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CXYJ21-69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信息管理学院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生命科学学院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李跃艳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陈艳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基于知识图谱的医学信息挖掘与推荐研究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CXYJ21-70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艺术学院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软件学院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周亦张孙伟松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数字抽象绘画的跨媒介风格研究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CXYJ21-71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电子科学与工程学院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张景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杜瑞春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多指标灵敏的可拉伸水凝胶材料及其用于电子皮肤的研究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1103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CXYJ21-72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现代工程与应用科学学院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化学化工学院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魏东瀛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孙张华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非骨架依赖的核酸酶研究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CF5E1F" w:rsidTr="0024322F">
        <w:trPr>
          <w:trHeight w:val="585"/>
          <w:jc w:val="center"/>
        </w:trPr>
        <w:tc>
          <w:tcPr>
            <w:tcW w:w="1265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CXYJ21-73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医学院</w:t>
            </w:r>
          </w:p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生命科学学院</w:t>
            </w:r>
          </w:p>
        </w:tc>
        <w:tc>
          <w:tcPr>
            <w:tcW w:w="973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徐贞</w:t>
            </w: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br/>
              <w:t>李京蔓</w:t>
            </w:r>
          </w:p>
        </w:tc>
        <w:tc>
          <w:tcPr>
            <w:tcW w:w="4346" w:type="dxa"/>
            <w:shd w:val="clear" w:color="000000" w:fill="FFFFFF"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MSCs调控巨噬细胞参与子宫内膜重建的新技术研发</w:t>
            </w:r>
          </w:p>
        </w:tc>
        <w:tc>
          <w:tcPr>
            <w:tcW w:w="972" w:type="dxa"/>
            <w:shd w:val="clear" w:color="000000" w:fill="FFFFFF"/>
            <w:noWrap/>
            <w:vAlign w:val="center"/>
          </w:tcPr>
          <w:p w:rsidR="00CF5E1F" w:rsidRDefault="00CF5E1F" w:rsidP="0024322F">
            <w:pPr>
              <w:widowControl/>
              <w:jc w:val="center"/>
              <w:textAlignment w:val="center"/>
              <w:rPr>
                <w:rFonts w:eastAsia="等线" w:hAnsi="等线" w:cs="等线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等线" w:hAnsi="等线" w:cs="等线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</w:tr>
    </w:tbl>
    <w:p w:rsidR="00CF5E1F" w:rsidRDefault="00CF5E1F" w:rsidP="00CF5E1F">
      <w:pPr>
        <w:spacing w:line="20" w:lineRule="exact"/>
      </w:pPr>
      <w:bookmarkStart w:id="0" w:name="_GoBack"/>
      <w:bookmarkEnd w:id="0"/>
    </w:p>
    <w:p w:rsidR="00EA2FDA" w:rsidRDefault="00EA2FDA">
      <w:pPr>
        <w:widowControl/>
        <w:jc w:val="center"/>
        <w:textAlignment w:val="center"/>
        <w:rPr>
          <w:rFonts w:eastAsia="等线" w:hAnsi="等线" w:cs="等线"/>
          <w:color w:val="000000"/>
          <w:kern w:val="0"/>
          <w:sz w:val="24"/>
          <w:szCs w:val="24"/>
          <w:lang/>
        </w:rPr>
      </w:pPr>
    </w:p>
    <w:p w:rsidR="00EA2FDA" w:rsidRDefault="00EA2FDA">
      <w:pPr>
        <w:widowControl/>
        <w:jc w:val="center"/>
        <w:textAlignment w:val="center"/>
        <w:rPr>
          <w:rFonts w:eastAsia="等线" w:hAnsi="等线" w:cs="等线"/>
          <w:color w:val="000000"/>
          <w:kern w:val="0"/>
          <w:sz w:val="24"/>
          <w:szCs w:val="24"/>
          <w:lang/>
        </w:rPr>
      </w:pPr>
    </w:p>
    <w:p w:rsidR="00EA2FDA" w:rsidRDefault="00EA2FDA">
      <w:pPr>
        <w:widowControl/>
        <w:jc w:val="center"/>
        <w:textAlignment w:val="center"/>
        <w:rPr>
          <w:rFonts w:eastAsia="等线" w:hAnsi="等线" w:cs="等线"/>
          <w:color w:val="000000"/>
          <w:kern w:val="0"/>
          <w:sz w:val="24"/>
          <w:szCs w:val="24"/>
          <w:lang/>
        </w:rPr>
      </w:pPr>
    </w:p>
    <w:p w:rsidR="00EA2FDA" w:rsidRDefault="00EA2FDA">
      <w:pPr>
        <w:pStyle w:val="western"/>
        <w:spacing w:before="0" w:beforeAutospacing="0" w:after="0" w:afterAutospacing="0" w:line="20" w:lineRule="exact"/>
        <w:rPr>
          <w:rFonts w:ascii="等线" w:eastAsia="等线" w:hAnsi="等线" w:cs="等线"/>
        </w:rPr>
      </w:pPr>
    </w:p>
    <w:sectPr w:rsidR="00EA2FDA" w:rsidSect="00EA2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103" w:rsidRDefault="00746103" w:rsidP="00CF5E1F">
      <w:r>
        <w:separator/>
      </w:r>
    </w:p>
  </w:endnote>
  <w:endnote w:type="continuationSeparator" w:id="1">
    <w:p w:rsidR="00746103" w:rsidRDefault="00746103" w:rsidP="00CF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103" w:rsidRDefault="00746103" w:rsidP="00CF5E1F">
      <w:r>
        <w:separator/>
      </w:r>
    </w:p>
  </w:footnote>
  <w:footnote w:type="continuationSeparator" w:id="1">
    <w:p w:rsidR="00746103" w:rsidRDefault="00746103" w:rsidP="00CF5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C4219"/>
    <w:rsid w:val="00030974"/>
    <w:rsid w:val="000D7F57"/>
    <w:rsid w:val="00156243"/>
    <w:rsid w:val="001A10B9"/>
    <w:rsid w:val="0024429F"/>
    <w:rsid w:val="002A66C0"/>
    <w:rsid w:val="00303DB4"/>
    <w:rsid w:val="00345114"/>
    <w:rsid w:val="003C4BAB"/>
    <w:rsid w:val="00421585"/>
    <w:rsid w:val="00477499"/>
    <w:rsid w:val="006101FB"/>
    <w:rsid w:val="00727608"/>
    <w:rsid w:val="00746103"/>
    <w:rsid w:val="007B4BE7"/>
    <w:rsid w:val="008B5FA6"/>
    <w:rsid w:val="00914C44"/>
    <w:rsid w:val="00AA54C0"/>
    <w:rsid w:val="00B8595A"/>
    <w:rsid w:val="00BA2F4A"/>
    <w:rsid w:val="00C261A3"/>
    <w:rsid w:val="00CC4219"/>
    <w:rsid w:val="00CF5E1F"/>
    <w:rsid w:val="00DD6452"/>
    <w:rsid w:val="00DF2EF5"/>
    <w:rsid w:val="00EA2FDA"/>
    <w:rsid w:val="17535CD5"/>
    <w:rsid w:val="17E51C18"/>
    <w:rsid w:val="28B36810"/>
    <w:rsid w:val="29DC7CF9"/>
    <w:rsid w:val="311A6129"/>
    <w:rsid w:val="3831002F"/>
    <w:rsid w:val="3C8C0281"/>
    <w:rsid w:val="552C269A"/>
    <w:rsid w:val="58282229"/>
    <w:rsid w:val="5FBB2E7F"/>
    <w:rsid w:val="67635799"/>
    <w:rsid w:val="6AD07A34"/>
    <w:rsid w:val="6AD740C1"/>
    <w:rsid w:val="6F7B7FEB"/>
    <w:rsid w:val="72691C46"/>
    <w:rsid w:val="727A5136"/>
    <w:rsid w:val="76DE4BDC"/>
    <w:rsid w:val="78E44EDF"/>
    <w:rsid w:val="7B88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A2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A2FDA"/>
    <w:rPr>
      <w:color w:val="0563C1" w:themeColor="hyperlink"/>
      <w:u w:val="single"/>
    </w:rPr>
  </w:style>
  <w:style w:type="paragraph" w:customStyle="1" w:styleId="western">
    <w:name w:val="western"/>
    <w:basedOn w:val="a"/>
    <w:qFormat/>
    <w:rsid w:val="00EA2F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A2F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2FDA"/>
    <w:rPr>
      <w:sz w:val="18"/>
      <w:szCs w:val="18"/>
    </w:rPr>
  </w:style>
  <w:style w:type="character" w:customStyle="1" w:styleId="font01">
    <w:name w:val="font01"/>
    <w:basedOn w:val="a0"/>
    <w:qFormat/>
    <w:rsid w:val="00EA2FDA"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EA2FDA"/>
    <w:rPr>
      <w:rFonts w:ascii="等线" w:eastAsia="等线" w:hAnsi="等线" w:cs="等线" w:hint="eastAsia"/>
      <w:color w:val="000000"/>
      <w:sz w:val="22"/>
      <w:szCs w:val="22"/>
      <w:u w:val="none"/>
      <w:vertAlign w:val="subscript"/>
    </w:rPr>
  </w:style>
  <w:style w:type="character" w:customStyle="1" w:styleId="font31">
    <w:name w:val="font31"/>
    <w:basedOn w:val="a0"/>
    <w:qFormat/>
    <w:rsid w:val="00EA2FDA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EA2FD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EA2FDA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1">
    <w:name w:val="font11"/>
    <w:basedOn w:val="a0"/>
    <w:qFormat/>
    <w:rsid w:val="00EA2FDA"/>
    <w:rPr>
      <w:rFonts w:ascii="等线" w:eastAsia="等线" w:hAnsi="等线" w:cs="等线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522</Words>
  <Characters>2977</Characters>
  <Application>Microsoft Office Word</Application>
  <DocSecurity>0</DocSecurity>
  <Lines>24</Lines>
  <Paragraphs>6</Paragraphs>
  <ScaleCrop>false</ScaleCrop>
  <Company>Company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2020-12-09T07:40:00Z</cp:lastPrinted>
  <dcterms:created xsi:type="dcterms:W3CDTF">2019-11-27T01:43:00Z</dcterms:created>
  <dcterms:modified xsi:type="dcterms:W3CDTF">2022-05-17T06:22:00Z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